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3042A2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3042A2" w:rsidRDefault="008A46BF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2A2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3042A2" w:rsidRDefault="008A46BF">
            <w:pPr>
              <w:pStyle w:val="ConsPlusTitlePage0"/>
              <w:jc w:val="center"/>
            </w:pPr>
            <w:proofErr w:type="gramStart"/>
            <w:r>
              <w:rPr>
                <w:sz w:val="48"/>
              </w:rPr>
              <w:t>Постановление Правительства Мурманской области от 23.06.2021 N 391-ПП</w:t>
            </w:r>
            <w:r>
              <w:rPr>
                <w:sz w:val="48"/>
              </w:rPr>
              <w:br/>
              <w:t>(ред. от 24.06.2025)</w:t>
            </w:r>
            <w:r>
              <w:rPr>
                <w:sz w:val="48"/>
              </w:rPr>
              <w:br/>
              <w:t>"Об утверждении Порядка предоставления субсидии некоммерческой организации "</w:t>
            </w:r>
            <w:r>
              <w:rPr>
                <w:sz w:val="48"/>
              </w:rPr>
              <w:t>Фонд капитального ремонта общего имущества в многоквартирных домах в Мурманской области" и о внесении изменений в некоторые постановления Правительства Мурманской области"</w:t>
            </w:r>
            <w:r>
              <w:rPr>
                <w:sz w:val="48"/>
              </w:rPr>
              <w:br/>
              <w:t>(вместе с "Порядком предоставления субсидии специализированной некоммерческой органи</w:t>
            </w:r>
            <w:r>
              <w:rPr>
                <w:sz w:val="48"/>
              </w:rPr>
              <w:t>зации "Фонд капитального ремонта общего имущества в многоквартирных домах в Мурманской области")</w:t>
            </w:r>
            <w:proofErr w:type="gramEnd"/>
          </w:p>
        </w:tc>
      </w:tr>
      <w:tr w:rsidR="003042A2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3042A2" w:rsidRDefault="008A46BF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27.10.2025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3042A2" w:rsidRDefault="003042A2">
      <w:pPr>
        <w:pStyle w:val="ConsPlusNormal0"/>
        <w:sectPr w:rsidR="003042A2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3042A2" w:rsidRDefault="003042A2">
      <w:pPr>
        <w:pStyle w:val="ConsPlusNormal0"/>
        <w:jc w:val="both"/>
        <w:outlineLvl w:val="0"/>
      </w:pPr>
    </w:p>
    <w:p w:rsidR="003042A2" w:rsidRDefault="008A46BF">
      <w:pPr>
        <w:pStyle w:val="ConsPlusTitle0"/>
        <w:jc w:val="center"/>
        <w:outlineLvl w:val="0"/>
      </w:pPr>
      <w:r>
        <w:t>ПРАВИТЕЛЬСТВО МУРМАНСКОЙ ОБЛАСТИ</w:t>
      </w:r>
    </w:p>
    <w:p w:rsidR="003042A2" w:rsidRDefault="003042A2">
      <w:pPr>
        <w:pStyle w:val="ConsPlusTitle0"/>
        <w:jc w:val="both"/>
      </w:pPr>
    </w:p>
    <w:p w:rsidR="003042A2" w:rsidRDefault="008A46BF">
      <w:pPr>
        <w:pStyle w:val="ConsPlusTitle0"/>
        <w:jc w:val="center"/>
      </w:pPr>
      <w:r>
        <w:t>ПОСТАНОВЛЕНИЕ</w:t>
      </w:r>
    </w:p>
    <w:p w:rsidR="003042A2" w:rsidRDefault="008A46BF">
      <w:pPr>
        <w:pStyle w:val="ConsPlusTitle0"/>
        <w:jc w:val="center"/>
      </w:pPr>
      <w:r>
        <w:t>от 23 июня 2021 г. N 391-ПП</w:t>
      </w:r>
    </w:p>
    <w:p w:rsidR="003042A2" w:rsidRDefault="003042A2">
      <w:pPr>
        <w:pStyle w:val="ConsPlusTitle0"/>
        <w:jc w:val="both"/>
      </w:pPr>
    </w:p>
    <w:p w:rsidR="003042A2" w:rsidRDefault="008A46BF">
      <w:pPr>
        <w:pStyle w:val="ConsPlusTitle0"/>
        <w:jc w:val="center"/>
      </w:pPr>
      <w:r>
        <w:t>ОБ УТВЕРЖДЕНИИ ПОРЯДКА ПРЕДОСТАВЛЕНИЯ СУБСИДИИ</w:t>
      </w:r>
    </w:p>
    <w:p w:rsidR="003042A2" w:rsidRDefault="008A46BF">
      <w:pPr>
        <w:pStyle w:val="ConsPlusTitle0"/>
        <w:jc w:val="center"/>
      </w:pPr>
      <w:r>
        <w:t>НЕКОММЕРЧЕСКОЙ ОРГАНИЗАЦИИ "</w:t>
      </w:r>
      <w:r>
        <w:t>ФОНД КАПИТАЛЬНОГО РЕМОНТА ОБЩЕГО</w:t>
      </w:r>
    </w:p>
    <w:p w:rsidR="003042A2" w:rsidRDefault="008A46BF">
      <w:pPr>
        <w:pStyle w:val="ConsPlusTitle0"/>
        <w:jc w:val="center"/>
      </w:pPr>
      <w:r>
        <w:t>ИМУЩЕСТВА В МНОГОКВАРТИРНЫХ ДОМАХ В МУРМАНСКОЙ ОБЛАСТИ"</w:t>
      </w:r>
    </w:p>
    <w:p w:rsidR="003042A2" w:rsidRDefault="008A46BF">
      <w:pPr>
        <w:pStyle w:val="ConsPlusTitle0"/>
        <w:jc w:val="center"/>
      </w:pPr>
      <w:r>
        <w:t>И О ВНЕСЕНИИ ИЗМЕНЕНИЙ В НЕКОТОРЫЕ ПОСТАНОВЛЕНИЯ</w:t>
      </w:r>
    </w:p>
    <w:p w:rsidR="003042A2" w:rsidRDefault="008A46BF">
      <w:pPr>
        <w:pStyle w:val="ConsPlusTitle0"/>
        <w:jc w:val="center"/>
      </w:pPr>
      <w:r>
        <w:t>ПРАВИТЕЛЬСТВА МУРМАНСКОЙ ОБЛАСТИ</w:t>
      </w:r>
    </w:p>
    <w:p w:rsidR="003042A2" w:rsidRDefault="003042A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042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2A2" w:rsidRDefault="008A46BF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16.08.2021 N 568-ПП, от 20.12.2021 N 963-ПП, от 18.05.2022 N 370-ПП,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13.07.2022 N 550-ПП, от 12.01.2023 N 11-ПП, от 27.04.2023 N 326-ПП,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08.09.2023 N 650-ПП, от 14.03.2024 N 170-ПП, от 09.08.2</w:t>
            </w:r>
            <w:r>
              <w:rPr>
                <w:color w:val="392C69"/>
              </w:rPr>
              <w:t>024 N 538-ПП,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30.09.2024 N 648-ПП, от 21.02.2025 N 125-ПП, от 16.04.2025 N 262-ПП,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24.06.2025 N 428-ПП)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Правительство Мурманской области постановляет: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1. Утвердить прилагаемый </w:t>
      </w:r>
      <w:hyperlink w:anchor="P41" w:tooltip="ПОРЯДОК">
        <w:r>
          <w:rPr>
            <w:color w:val="0000FF"/>
          </w:rPr>
          <w:t>Порядок</w:t>
        </w:r>
      </w:hyperlink>
      <w:r>
        <w:t xml:space="preserve"> предоставления субсидии специализированной некоммерческой организации "Фонд капитального ремонта общего имущества в многоквартирных домах в Мурманской области".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12.01.2023 N 11-ПП)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 Внести в пост</w:t>
      </w:r>
      <w:r>
        <w:t>ановление Правительства Мурманской области от 31.10.2013 N 638-ПП "Об утверждении Порядка определения объема и предоставления субсидии в виде имущественного взноса в некоммерческую организацию "Фонд капитального ремонта общего имущества в многоквартирных д</w:t>
      </w:r>
      <w:r>
        <w:t>омах в Мурманской области" (в редакции постановления Правительства Мурманской области от 24.07.2019 N 347-ПП) следующие изменения: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2.1. В пункте 2 слова "Министерству строительства и территориального развития Мурманской области (</w:t>
      </w:r>
      <w:proofErr w:type="spellStart"/>
      <w:r>
        <w:t>Рудь</w:t>
      </w:r>
      <w:proofErr w:type="spellEnd"/>
      <w:r>
        <w:t xml:space="preserve"> М.А.)" заменить словам</w:t>
      </w:r>
      <w:r>
        <w:t>и "Министерству строительства Мурманской области (</w:t>
      </w:r>
      <w:proofErr w:type="spellStart"/>
      <w:r>
        <w:t>Сандурский</w:t>
      </w:r>
      <w:proofErr w:type="spellEnd"/>
      <w:r>
        <w:t xml:space="preserve"> В.В.)".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2.2. В пункте 3 слова "</w:t>
      </w:r>
      <w:proofErr w:type="spellStart"/>
      <w:r>
        <w:t>Никору</w:t>
      </w:r>
      <w:proofErr w:type="spellEnd"/>
      <w:r>
        <w:t xml:space="preserve"> Е.В." заменить словами "</w:t>
      </w:r>
      <w:proofErr w:type="spellStart"/>
      <w:r>
        <w:t>Сандурского</w:t>
      </w:r>
      <w:proofErr w:type="spellEnd"/>
      <w:r>
        <w:t xml:space="preserve"> В.В.".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2.3. Порядок определения объема и предоставления субсидии в виде имущественного взноса в НКО "Фонд капитального ре</w:t>
      </w:r>
      <w:r>
        <w:t xml:space="preserve">монта общего имущества в многоквартирных домах в Мурманской области", утвержденный вышеизложенным постановлением, изложить в редакции согласно </w:t>
      </w:r>
      <w:hyperlink w:anchor="P1066" w:tooltip="ПОРЯДОК">
        <w:r>
          <w:rPr>
            <w:color w:val="0000FF"/>
          </w:rPr>
          <w:t>приложению</w:t>
        </w:r>
      </w:hyperlink>
      <w:r>
        <w:t xml:space="preserve"> к настоящему постановлению.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3. Порядок предоставления субсиди</w:t>
      </w:r>
      <w:r>
        <w:t xml:space="preserve">и некоммерческой организации "Фонд капитального ремонта общего имущества в многоквартирных домах в Мурманской области", прилагаемый к государственной программе "Комфортное жилье и городская среда" (приложение N 6), </w:t>
      </w:r>
      <w:r>
        <w:lastRenderedPageBreak/>
        <w:t>утвержденной постановлением Правительства</w:t>
      </w:r>
      <w:r>
        <w:t xml:space="preserve"> Мурманской области от 13.11.2020 N 795-ПП, признать утратившим силу.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</w:pPr>
      <w:r>
        <w:t>Губернатор</w:t>
      </w:r>
    </w:p>
    <w:p w:rsidR="003042A2" w:rsidRDefault="008A46BF">
      <w:pPr>
        <w:pStyle w:val="ConsPlusNormal0"/>
        <w:jc w:val="right"/>
      </w:pPr>
      <w:r>
        <w:t>Мурманской области</w:t>
      </w:r>
    </w:p>
    <w:p w:rsidR="003042A2" w:rsidRDefault="008A46BF">
      <w:pPr>
        <w:pStyle w:val="ConsPlusNormal0"/>
        <w:jc w:val="right"/>
      </w:pPr>
      <w:r>
        <w:t>А.В.ЧИБИС</w:t>
      </w: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0"/>
      </w:pPr>
      <w:r>
        <w:t>Утвержден</w:t>
      </w:r>
    </w:p>
    <w:p w:rsidR="003042A2" w:rsidRDefault="008A46BF">
      <w:pPr>
        <w:pStyle w:val="ConsPlusNormal0"/>
        <w:jc w:val="right"/>
      </w:pPr>
      <w:r>
        <w:t>постановлением</w:t>
      </w:r>
    </w:p>
    <w:p w:rsidR="003042A2" w:rsidRDefault="008A46BF">
      <w:pPr>
        <w:pStyle w:val="ConsPlusNormal0"/>
        <w:jc w:val="right"/>
      </w:pPr>
      <w:r>
        <w:t>Правительства Мурманской области</w:t>
      </w:r>
    </w:p>
    <w:p w:rsidR="003042A2" w:rsidRDefault="008A46BF">
      <w:pPr>
        <w:pStyle w:val="ConsPlusNormal0"/>
        <w:jc w:val="right"/>
      </w:pPr>
      <w:r>
        <w:t>от 23 июня 2021 г. N 391-ПП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</w:pPr>
      <w:bookmarkStart w:id="1" w:name="P41"/>
      <w:bookmarkEnd w:id="1"/>
      <w:r>
        <w:t>ПОРЯДОК</w:t>
      </w:r>
    </w:p>
    <w:p w:rsidR="003042A2" w:rsidRDefault="008A46BF">
      <w:pPr>
        <w:pStyle w:val="ConsPlusTitle0"/>
        <w:jc w:val="center"/>
      </w:pPr>
      <w:r>
        <w:t>ПРЕДОСТАВЛЕНИЯ СУБСИДИИ СПЕЦИАЛИЗИРОВАННОЙ НЕКОММЕРЧЕСКОЙ</w:t>
      </w:r>
    </w:p>
    <w:p w:rsidR="003042A2" w:rsidRDefault="008A46BF">
      <w:pPr>
        <w:pStyle w:val="ConsPlusTitle0"/>
        <w:jc w:val="center"/>
      </w:pPr>
      <w:r>
        <w:t>ОРГАНИЗАЦИИ "ФОНД КАПИТАЛЬНОГО РЕМОНТА ОБЩЕГО ИМУЩЕСТВА</w:t>
      </w:r>
    </w:p>
    <w:p w:rsidR="003042A2" w:rsidRDefault="008A46BF">
      <w:pPr>
        <w:pStyle w:val="ConsPlusTitle0"/>
        <w:jc w:val="center"/>
      </w:pPr>
      <w:r>
        <w:t>В МНОГОКВАРТИРНЫХ ДОМАХ В МУРМАНСКОЙ ОБЛАСТИ"</w:t>
      </w:r>
    </w:p>
    <w:p w:rsidR="003042A2" w:rsidRDefault="003042A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042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2A2" w:rsidRDefault="008A46BF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16.08.</w:t>
            </w:r>
            <w:r>
              <w:rPr>
                <w:color w:val="392C69"/>
              </w:rPr>
              <w:t>2021 N 568-ПП, от 20.12.2021 N 963-ПП, от 18.05.2022 N 370-ПП,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13.07.2022 N 550-ПП, от 12.01.2023 N 11-ПП, от 27.04.2023 N 326-ПП,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08.09.2023 N 650-ПП, от 14.03.2024 N 170-ПП, от 09.08.2024 N 538-ПП,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30.09.2024 N 648-ПП, от 21.02.2025 N 125-ПП, от</w:t>
            </w:r>
            <w:r>
              <w:rPr>
                <w:color w:val="392C69"/>
              </w:rPr>
              <w:t xml:space="preserve"> 16.04.2025 N 262-ПП,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24.06.2025 N 428-ПП)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  <w:outlineLvl w:val="1"/>
      </w:pPr>
      <w:r>
        <w:t>1. Общие положения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1.1. Настоящий Порядок предоставления субсидии специализированной некоммерческой организации "Фонд капитального ремонта общего имущества в многоквартирных домах в Мурманской области"</w:t>
      </w:r>
      <w:r>
        <w:t xml:space="preserve"> (далее соответственно - НКО "ФКР МО" Субсидия) определяет: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12.01.2023 N 11-ПП)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1.1.1. Цели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1.1.2. Наименование главного распорядителя средств, осуществляющего предоставлени</w:t>
      </w:r>
      <w:r>
        <w:t>е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1.1.3. Условия и порядок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1.1.4. Требования к отчетности.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1.1.5. </w:t>
      </w:r>
      <w:proofErr w:type="gramStart"/>
      <w:r>
        <w:t xml:space="preserve">Требования о проверке главным распорядителем как получателем бюджетных средств соблюдения порядка и условий предоставления субсидии, в том числе в части достижения </w:t>
      </w:r>
      <w:r>
        <w:lastRenderedPageBreak/>
        <w:t>результата предоставления субсидии, а также проверки органами государственного финанс</w:t>
      </w:r>
      <w:r>
        <w:t>ового контроля Мурманской области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</w:t>
      </w:r>
      <w:proofErr w:type="gramEnd"/>
    </w:p>
    <w:p w:rsidR="003042A2" w:rsidRDefault="008A46BF">
      <w:pPr>
        <w:pStyle w:val="ConsPlusNormal0"/>
        <w:jc w:val="both"/>
      </w:pPr>
      <w:r>
        <w:t>(в ред. Постановлений Правительства Мурманской области от 18.05.20</w:t>
      </w:r>
      <w:r>
        <w:t>22 N 370-ПП,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1.1.6. Порядок финансирования работ, указанных в </w:t>
      </w:r>
      <w:hyperlink w:anchor="P86" w:tooltip="2.1. Субсидия направлена на финансовое обеспечение капитального ремонта общего имущества многоквартирных домов (включая работы по оценке технического состояния многоквартирного дома, проведение инженерных изысканий для подготовки проектной документации, разраб">
        <w:r>
          <w:rPr>
            <w:color w:val="0000FF"/>
          </w:rPr>
          <w:t>пункте 2.1</w:t>
        </w:r>
      </w:hyperlink>
      <w:r>
        <w:t xml:space="preserve"> настоящего Порядка.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1.2. Понятия, используемые в настоящих Правилах, означают следующее: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Расчетный период - период, за кото</w:t>
      </w:r>
      <w:r>
        <w:t>рый производится расчет размера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Отчетный период - период, за который составляется отчетность. Данным порядком предусматривается 2 </w:t>
      </w:r>
      <w:proofErr w:type="gramStart"/>
      <w:r>
        <w:t>отчетных</w:t>
      </w:r>
      <w:proofErr w:type="gramEnd"/>
      <w:r>
        <w:t xml:space="preserve"> периода: квартал, год.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Отчетный квартал - периоды с 1 января по 31 марта, с 1 апреля по 30 июня, с 1 июля </w:t>
      </w:r>
      <w:proofErr w:type="gramStart"/>
      <w:r>
        <w:t>п</w:t>
      </w:r>
      <w:r>
        <w:t>о</w:t>
      </w:r>
      <w:proofErr w:type="gramEnd"/>
      <w:r>
        <w:t xml:space="preserve"> 30 сентября.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Отчетный год - календарный год с 1 января по 31 декабря включительно, за который предоставляется отчетность.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Прочие понятия, используемые в настоящем Порядке, соответствуют определениям, данным в Жилищном кодексе Российской Федерации (далее </w:t>
      </w:r>
      <w:r>
        <w:t>- ЖК РФ).</w:t>
      </w:r>
    </w:p>
    <w:p w:rsidR="003042A2" w:rsidRDefault="008A46BF">
      <w:pPr>
        <w:pStyle w:val="ConsPlusNormal0"/>
        <w:jc w:val="both"/>
      </w:pPr>
      <w:r>
        <w:t>(п. 1.2 в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2" w:name="P71"/>
      <w:bookmarkEnd w:id="2"/>
      <w:r>
        <w:t xml:space="preserve">1.3. Целью предоставления Субсидии является обеспечение своевременной реализации региональной программы капитального ремонта общего имущества в многоквартирных </w:t>
      </w:r>
      <w:r>
        <w:t>домах, расположенных на территории Мурманской области, на 2014 - 2043 годы, утвержденной постановлением Правительства Мурманской области от 31.03.2014 N 168-ПП.</w:t>
      </w:r>
    </w:p>
    <w:p w:rsidR="003042A2" w:rsidRDefault="008A46BF">
      <w:pPr>
        <w:pStyle w:val="ConsPlusNormal0"/>
        <w:jc w:val="both"/>
      </w:pPr>
      <w:r>
        <w:t>(п. 1.3 в ред. Постановления Правительства Мурманской области от 13.07.2022 N 550-ПП)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1.4. Субс</w:t>
      </w:r>
      <w:r>
        <w:t xml:space="preserve">идия предоставляется в соответствии с пунктом 2 статьи 78.1 Бюджетного кодекса Российской Федерации, статьей 191 ЖК РФ в пределах лимитов бюджетных обязательств, предусмотренных главному распорядителю как получателю бюджетных средств, на цели, указанные в </w:t>
      </w:r>
      <w:hyperlink w:anchor="P71" w:tooltip="1.3. Целью предоставления Субсидии является обеспечение своевременной реализации региональной программы капитального ремонта общего имущества в многоквартирных домах, расположенных на территории Мурманской области, на 2014 - 2043 годы, утвержденной постановлен">
        <w:r>
          <w:rPr>
            <w:color w:val="0000FF"/>
          </w:rPr>
          <w:t>пункте 1.3</w:t>
        </w:r>
      </w:hyperlink>
      <w:r>
        <w:t xml:space="preserve"> настоящего Порядка.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20.12.2021 N 963-ПП)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1.5. Получателем Субсидии является НКО "ФКР МО" (далее - Получатель субсидии).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3" w:name="P76"/>
      <w:bookmarkEnd w:id="3"/>
      <w:r>
        <w:t>1.6. Главным распорядителем сре</w:t>
      </w:r>
      <w:r>
        <w:t>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Субсидии, является Министерство строительства Мурманской о</w:t>
      </w:r>
      <w:r>
        <w:t>бласти (далее - главный распорядитель).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1.7. Информация о предоставлении субсидии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</w:t>
      </w:r>
      <w:r>
        <w:t>ской Федерации.</w:t>
      </w:r>
    </w:p>
    <w:p w:rsidR="003042A2" w:rsidRDefault="008A46BF">
      <w:pPr>
        <w:pStyle w:val="ConsPlusNormal0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Постановлений Правительства Мурманской области от 12.01.2023 N 11-ПП,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1.8. В случае расходования средств Субсидии на оплату работ, предусмотренных </w:t>
      </w:r>
      <w:hyperlink w:anchor="P95" w:tooltip="з) Работы по устранению недостатков качества услуг и (или) работ, в том числе выявленных в период гарантийного срока, если подрядная организация не приступила к устранению указанных недостатков в течение девяти месяцев после истечения сроков, установленных под">
        <w:r>
          <w:rPr>
            <w:color w:val="0000FF"/>
          </w:rPr>
          <w:t>подпунктом "з" пункта 2.1</w:t>
        </w:r>
      </w:hyperlink>
      <w:r>
        <w:t xml:space="preserve"> настоящего постановления, Получатель субсидии обязан принять меры к взысканию указанных сре</w:t>
      </w:r>
      <w:proofErr w:type="gramStart"/>
      <w:r>
        <w:t>дств с п</w:t>
      </w:r>
      <w:proofErr w:type="gramEnd"/>
      <w:r>
        <w:t>одрядной организации в досудебном и (или) судебном порядке.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>. 1.8 введен Постановлением Правительства Мурманской области от 13.07.2022 N 550-ПП)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1.9. Субс</w:t>
      </w:r>
      <w:r>
        <w:t xml:space="preserve">идия предоставляется за счет средств областного бюджета. </w:t>
      </w:r>
      <w:proofErr w:type="gramStart"/>
      <w:r>
        <w:t xml:space="preserve">Для расходов, предусмотренных </w:t>
      </w:r>
      <w:hyperlink w:anchor="P99" w:tooltip="к) Проведение капитального ремонта элементов общего имущества многоквартирных домов, выполняемого в рамках реализации мероприятий Плана социального развития центров экономического роста Мурманской области, утвержденного распоряжением Правительства Мурманской о">
        <w:r>
          <w:rPr>
            <w:color w:val="0000FF"/>
          </w:rPr>
          <w:t>подпунктом "к" пункта 2.1</w:t>
        </w:r>
      </w:hyperlink>
      <w:r>
        <w:t xml:space="preserve"> настоящего Порядка, субсидия предоставляется также за счет средств областного бюджета, источником финансово</w:t>
      </w:r>
      <w:r>
        <w:t>го обеспечения которых являются средства федерального бюджета, доведенные главному распорядителю в соответствии с Правилами предоставления и распределения субсидий на реализацию мероприятий планов социального развития центров экономического роста субъектов</w:t>
      </w:r>
      <w:r>
        <w:t xml:space="preserve"> Российской Федерации Арктической зоны Российской Федерации, утвержденными постановлением Правительства Российской Федерации от 30.03.2021 N</w:t>
      </w:r>
      <w:proofErr w:type="gramEnd"/>
      <w:r>
        <w:t xml:space="preserve"> 484, в рамках </w:t>
      </w:r>
      <w:proofErr w:type="gramStart"/>
      <w:r>
        <w:t>реализации Плана социального развития центров экономического роста Мурманской</w:t>
      </w:r>
      <w:proofErr w:type="gramEnd"/>
      <w:r>
        <w:t xml:space="preserve"> области, утвержденного </w:t>
      </w:r>
      <w:r>
        <w:t>распоряжением Правительства Мурманской области от 25.11.2022 N 302-РП.</w:t>
      </w:r>
    </w:p>
    <w:p w:rsidR="003042A2" w:rsidRDefault="008A46BF">
      <w:pPr>
        <w:pStyle w:val="ConsPlusNormal0"/>
        <w:jc w:val="both"/>
      </w:pPr>
      <w:r>
        <w:t xml:space="preserve">(п. 1.9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09.08.2024 N 538-ПП)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  <w:outlineLvl w:val="1"/>
      </w:pPr>
      <w:r>
        <w:t>2. Условия и порядок предоставления Субсидии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bookmarkStart w:id="4" w:name="P86"/>
      <w:bookmarkEnd w:id="4"/>
      <w:r>
        <w:t xml:space="preserve">2.1. </w:t>
      </w:r>
      <w:proofErr w:type="gramStart"/>
      <w:r>
        <w:t xml:space="preserve">Субсидия направлена на финансовое обеспечение </w:t>
      </w:r>
      <w:r>
        <w:t>капитального ремонта общего имущества многоквартирных домов (включая работы по оценке технического состояния многоквартирного дома, проведение инженерных изысканий для подготовки проектной документации, разработку проектной документации на проведение капит</w:t>
      </w:r>
      <w:r>
        <w:t>ального ремонта общего имущества многоквартирных домов, проведение экспертизы проектной документации и осуществление строительного контроля), включенных в краткосрочный план реализации региональной программы капитального ремонта общего имущества в многоква</w:t>
      </w:r>
      <w:r>
        <w:t>ртирных домах, расположенных</w:t>
      </w:r>
      <w:proofErr w:type="gramEnd"/>
      <w:r>
        <w:t xml:space="preserve"> на территории Мурманской области, и (или) в краткосрочный план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образования, по следующи</w:t>
      </w:r>
      <w:r>
        <w:t>м направлениям расходов: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12.01.2023 N 11-ПП)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5" w:name="P88"/>
      <w:bookmarkEnd w:id="5"/>
      <w:r>
        <w:t xml:space="preserve">а) Капитальный ремонт элементов общего имущества многоквартирных домов, за исключением работ, указанных в </w:t>
      </w:r>
      <w:hyperlink w:anchor="P89" w:tooltip="б) Авторский надзор за проведением работ по капитальному ремонту общего имущества в домах, являющихся объектами культурного наследия, включенных в единый государственный реестр объектов культурного наследия (памятников истории и культуры) народов Российской Фе">
        <w:r>
          <w:rPr>
            <w:color w:val="0000FF"/>
          </w:rPr>
          <w:t>подпунктах "б"</w:t>
        </w:r>
      </w:hyperlink>
      <w:r>
        <w:t xml:space="preserve"> - </w:t>
      </w:r>
      <w:hyperlink w:anchor="P94" w:tooltip="ж) Проведение капитального ремонта элементов общего имущества многоквартирных домов, выполняемого с использованием средств резервного фонда Правительства Мурманской области на основании поручения Губернатора Мурманской области.">
        <w:r>
          <w:rPr>
            <w:color w:val="0000FF"/>
          </w:rPr>
          <w:t>"ж"</w:t>
        </w:r>
      </w:hyperlink>
      <w:r>
        <w:t xml:space="preserve"> настоящего пункта.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6" w:name="P89"/>
      <w:bookmarkEnd w:id="6"/>
      <w:r>
        <w:t>б) Авторский надзор за проведением работ по капитальному ремонту общего имущества в домах, являющихся объектами культурного наследия, включенных в единый государственный реестр об</w:t>
      </w:r>
      <w:r>
        <w:t>ъектов культурного наследия (памятников истории и культуры) народов Российской Федерации, научное руководство проведением указанных работ.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gramStart"/>
      <w:r>
        <w:t xml:space="preserve">в) Установка (замена) </w:t>
      </w:r>
      <w:proofErr w:type="spellStart"/>
      <w:r>
        <w:t>водоподогревателя</w:t>
      </w:r>
      <w:proofErr w:type="spellEnd"/>
      <w:r>
        <w:t xml:space="preserve"> системы горячего водоснабжения (в составе общего имущества), включая регулято</w:t>
      </w:r>
      <w:r>
        <w:t xml:space="preserve">р температуры и другое необходимое оборудование, согласно техническим условиям теплоснабжающей организации на основании акта, подтверждающего запрет дальнейшей эксплуатации данного </w:t>
      </w:r>
      <w:proofErr w:type="spellStart"/>
      <w:r>
        <w:t>водоподогревателя</w:t>
      </w:r>
      <w:proofErr w:type="spellEnd"/>
      <w:r>
        <w:t xml:space="preserve"> или </w:t>
      </w:r>
      <w:proofErr w:type="spellStart"/>
      <w:r>
        <w:t>водоподогревателя</w:t>
      </w:r>
      <w:proofErr w:type="spellEnd"/>
      <w:r>
        <w:t>, расположенного в ином многоквартир</w:t>
      </w:r>
      <w:r>
        <w:t xml:space="preserve">ном доме, предназначенного для предоставления </w:t>
      </w:r>
      <w:r>
        <w:lastRenderedPageBreak/>
        <w:t>коммунальной услуги "горячее водоснабжение" в многоквартирном доме, в связи с его значительным износом, или акта об отсутствии ранее</w:t>
      </w:r>
      <w:proofErr w:type="gramEnd"/>
      <w:r>
        <w:t xml:space="preserve"> </w:t>
      </w:r>
      <w:proofErr w:type="gramStart"/>
      <w:r>
        <w:t>имевшегося</w:t>
      </w:r>
      <w:proofErr w:type="gramEnd"/>
      <w:r>
        <w:t xml:space="preserve"> </w:t>
      </w:r>
      <w:proofErr w:type="spellStart"/>
      <w:r>
        <w:t>водоподогревателя</w:t>
      </w:r>
      <w:proofErr w:type="spellEnd"/>
      <w:r>
        <w:t>, подписанного представителем теплоснабжающей орг</w:t>
      </w:r>
      <w:r>
        <w:t>анизации.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г) Проведение капитального ремонта элементов многоквартирных домов, прошедших отбор в соответствии с </w:t>
      </w:r>
      <w:hyperlink w:anchor="P361" w:tooltip="ПОРЯДОК">
        <w:r>
          <w:rPr>
            <w:color w:val="0000FF"/>
          </w:rPr>
          <w:t>Порядком</w:t>
        </w:r>
      </w:hyperlink>
      <w:r>
        <w:t xml:space="preserve"> проведения отбора многоквартирных домов для проведения капитального ремонта согласно приложению </w:t>
      </w:r>
      <w:r>
        <w:t>N 4 к настоящему Порядку.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gramStart"/>
      <w:r>
        <w:t>д) Проведение капитального ремонта элементов общего имущества многоквартирных домов, без выполнения которого невозможна реализация мероприятий по капитальному ремонту общего имущества многоквартирных домов, предусмотренных на теку</w:t>
      </w:r>
      <w:r>
        <w:t>щий год в краткосрочном плане реализации региональной программы капитального ремонта общего имущества в многоквартирных домах, расположенных на территории Мурманской области, и (или) в краткосрочном плане реализации региональной программы капитального ремо</w:t>
      </w:r>
      <w:r>
        <w:t>нта общего имущества в многоквартирных домах, расположенных</w:t>
      </w:r>
      <w:proofErr w:type="gramEnd"/>
      <w:r>
        <w:t xml:space="preserve"> на территории муниципального образования.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е) Проведение капитального ремонта элементов общего имущества многоквартирных домов, капитальный ремонт в которых был завершен ранее не в полном объеме, </w:t>
      </w:r>
      <w:proofErr w:type="gramStart"/>
      <w:r>
        <w:t>р</w:t>
      </w:r>
      <w:r>
        <w:t>ешение</w:t>
      </w:r>
      <w:proofErr w:type="gramEnd"/>
      <w:r>
        <w:t xml:space="preserve"> о необходимости проведения которого принимается Главным распорядителем в соответствии с Актом обследования многоквартирного дома, составленным при участии представителей регионального оператора, органов муниципального жилищного контроля, органов мес</w:t>
      </w:r>
      <w:r>
        <w:t>тного самоуправления, собственников жилых помещений.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7" w:name="P94"/>
      <w:bookmarkEnd w:id="7"/>
      <w:r>
        <w:t>ж) Проведение капитального ремонта элементов общего имущества многоквартирных домов, выполняемого с использованием средств резервного фонда Правительства Мурманской области на основании поручения Губерна</w:t>
      </w:r>
      <w:r>
        <w:t>тора Мурманской области.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8" w:name="P95"/>
      <w:bookmarkEnd w:id="8"/>
      <w:proofErr w:type="gramStart"/>
      <w:r>
        <w:t>з) Работы по устранению недостатков качества услуг и (или) работ, в том числе выявленных в период гарантийного срока, если подрядная организация не приступила к устранению указанных недостатков в течение девяти месяцев после истече</w:t>
      </w:r>
      <w:r>
        <w:t>ния сроков, установленных подрядной организации Получателем субсидии, либо в случае, если подрядная организация приступила к устранению, но не окончила работы в течение одного года с момента начала работ</w:t>
      </w:r>
      <w:proofErr w:type="gramEnd"/>
      <w:r>
        <w:t xml:space="preserve">, оказанных (выполненных) по договорам строительного </w:t>
      </w:r>
      <w:r>
        <w:t>подряда, предусмотренным частью 7 статьи 166 ЖК РФ, с возможностью последующего возмещения данных средств подрядной организацией.</w:t>
      </w:r>
    </w:p>
    <w:p w:rsidR="003042A2" w:rsidRDefault="008A46BF">
      <w:pPr>
        <w:pStyle w:val="ConsPlusNormal0"/>
        <w:jc w:val="both"/>
      </w:pPr>
      <w:r>
        <w:t xml:space="preserve">(подп. "з"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13.07.2022 N 550-ПП; в ред. Постановления Правительства М</w:t>
      </w:r>
      <w:r>
        <w:t>урманской области от 21.02.2025 N 125-ПП)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9" w:name="P97"/>
      <w:bookmarkEnd w:id="9"/>
      <w:proofErr w:type="gramStart"/>
      <w:r>
        <w:t>и) Выполнение работ по оценке технического состояния многоквартирного дома, разработка проектной документации на проведение капитального ремонта общего имущества многоквартирных домов, включая проведение инженерных</w:t>
      </w:r>
      <w:r>
        <w:t xml:space="preserve"> изысканий для подготовки проектной документации и проведение экспертизы проектной документации, в случаях, когда проведение строительно-монтажных работ по капитальному ремонту общего имущества многоквартирных домов не предусматривается заключенным договор</w:t>
      </w:r>
      <w:r>
        <w:t>ом строительного подряда, предусмотренным частью 7 статьи 166 ЖК РФ.</w:t>
      </w:r>
      <w:proofErr w:type="gramEnd"/>
    </w:p>
    <w:p w:rsidR="003042A2" w:rsidRDefault="008A46BF">
      <w:pPr>
        <w:pStyle w:val="ConsPlusNormal0"/>
        <w:jc w:val="both"/>
      </w:pPr>
      <w:r>
        <w:t xml:space="preserve">(подп. "и"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12.01.2023 N 11-ПП; в ред. Постановления Правительства Мурманской области от 21.02.2025 N 125-ПП)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10" w:name="P99"/>
      <w:bookmarkEnd w:id="10"/>
      <w:r>
        <w:lastRenderedPageBreak/>
        <w:t>к) Проведение капита</w:t>
      </w:r>
      <w:r>
        <w:t xml:space="preserve">льного ремонта элементов общего имущества многоквартирных домов, выполняемого в рамках </w:t>
      </w:r>
      <w:proofErr w:type="gramStart"/>
      <w:r>
        <w:t>реализации мероприятий Плана социального развития центров экономического роста Мурманской</w:t>
      </w:r>
      <w:proofErr w:type="gramEnd"/>
      <w:r>
        <w:t xml:space="preserve"> области, утвержденного распоряжением Правительства Мурманской области от 25.11.</w:t>
      </w:r>
      <w:r>
        <w:t>2022 N 302-РП.</w:t>
      </w:r>
    </w:p>
    <w:p w:rsidR="003042A2" w:rsidRDefault="008A46BF">
      <w:pPr>
        <w:pStyle w:val="ConsPlusNormal0"/>
        <w:jc w:val="both"/>
      </w:pPr>
      <w:r>
        <w:t>(подп. "к" в ред. Постановления Правительства Мурманской области от 30.09.2024 N 648-ПП)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л) Проведение обследования технического состояния многоквартирного дома, включенного в региональную программу капитального ремонта общего имущества в мн</w:t>
      </w:r>
      <w:r>
        <w:t>огоквартирных домах.</w:t>
      </w:r>
    </w:p>
    <w:p w:rsidR="003042A2" w:rsidRDefault="008A46BF">
      <w:pPr>
        <w:pStyle w:val="ConsPlusNormal0"/>
        <w:jc w:val="both"/>
      </w:pPr>
      <w:r>
        <w:t>(подп. "л" введен Постановлением Правительства Мурманской области от 16.04.2025 N 262-ПП)</w:t>
      </w:r>
    </w:p>
    <w:p w:rsidR="003042A2" w:rsidRDefault="008A46BF">
      <w:pPr>
        <w:pStyle w:val="ConsPlusNormal0"/>
        <w:jc w:val="both"/>
      </w:pPr>
      <w:r>
        <w:t>(п. 2.1 в ред. Постановления Правительства Мурманской области от 18.05.2022 N 370-ПП)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11" w:name="P104"/>
      <w:bookmarkEnd w:id="11"/>
      <w:r>
        <w:t>2.2. Условиями предоставления Субсидии являются: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2.2.1. Нал</w:t>
      </w:r>
      <w:r>
        <w:t>ичие в краткосрочном плане реализации региональной программы капитального ремонта общего имущества в многоквартирных домах, расположенных на территории Мурманской области, и (или) в краткосрочном плане реализации региональной программы капитального ремонта</w:t>
      </w:r>
      <w:r>
        <w:t xml:space="preserve"> общего имущества в многоквартирных домах, расположенных на территории муниципального образования, работ, соответствующих целям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2.2.2. </w:t>
      </w:r>
      <w:proofErr w:type="gramStart"/>
      <w:r>
        <w:t>Наличие согласия Получателя на осуществление главным распорядителем проверки соблюдения Получате</w:t>
      </w:r>
      <w:r>
        <w:t>лем условий и порядка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</w:t>
      </w:r>
      <w:r>
        <w:t>ии и на включение таких положений в соглашение о предоставлении субсидии (далее - Соглашение).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2.2.3. Запрет на приобретение Получателем субсидии за счет предоставленной субсидии иностранной валюты, за исключением операций, осуществляемых в соответствии с </w:t>
      </w:r>
      <w:r>
        <w:t>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2.2.4. Соответствие Получателя субсидии на первое число месяца, предшествующего месяцу, в котором планируетс</w:t>
      </w:r>
      <w:r>
        <w:t>я заключение Соглашения, следующим требованиям: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2.2.4.1. </w:t>
      </w:r>
      <w:proofErr w:type="gramStart"/>
      <w:r>
        <w:t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</w:t>
      </w:r>
      <w:r>
        <w:t xml:space="preserve">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</w:t>
      </w:r>
      <w:r>
        <w:t>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</w:t>
      </w:r>
      <w:r>
        <w:t>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</w:t>
      </w:r>
      <w:r>
        <w:t>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t xml:space="preserve"> акционерных обществ.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lastRenderedPageBreak/>
        <w:t xml:space="preserve">2.2.4.2. Получатель субсидии не находится в перечне организаций и физических лиц, в отношении которых имеются сведения об </w:t>
      </w:r>
      <w:r>
        <w:t>их причастности к экстремистской деятельности или терроризму.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2.2.4.3. </w:t>
      </w:r>
      <w:proofErr w:type="gramStart"/>
      <w:r>
        <w:t>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</w:t>
      </w:r>
      <w:r>
        <w:t>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2.2.4.4. Получатель субсидии не должен получать средства из областного бюдж</w:t>
      </w:r>
      <w:r>
        <w:t>ета на основании иных нормативных правовых актов Мурманской области на цели, установленные данным постановлением.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2.2.4.5. Получатель субсидии не является иностранным агентом в соответствии с Федеральным законом "О </w:t>
      </w:r>
      <w:proofErr w:type="gramStart"/>
      <w:r>
        <w:t>контроле за</w:t>
      </w:r>
      <w:proofErr w:type="gramEnd"/>
      <w:r>
        <w:t xml:space="preserve"> деятельностью лиц, находящихс</w:t>
      </w:r>
      <w:r>
        <w:t>я под иностранным влиянием".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2.2.4.6. У Получателя субсидии на едином налоговом счете отсутствует или не превышает размер, определенный пунктом 3 статьи 47</w:t>
      </w:r>
      <w: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2.2.4.7. У Получателя субсидии отсутствуют просроченная задолженность по возврату в бюджет Мурманской об</w:t>
      </w:r>
      <w:r>
        <w:t>ласти, иных субсидий, бюджетных инвестиций, а также иная просроченная (неурегулированная) задолженность по денежным обязательствам перед бюджетом Мурманской области.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2.2.4.8. Получатель субсидии не находится в процессе реорганизации (за исключением реорган</w:t>
      </w:r>
      <w:r>
        <w:t>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</w:t>
      </w:r>
      <w:r>
        <w:t>онодательством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2.2.4.9. </w:t>
      </w:r>
      <w:proofErr w:type="gramStart"/>
      <w: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2</w:t>
      </w:r>
      <w:r>
        <w:t>.2.4.10. Открытие в кредитной организации расчетного счета для учета операций, совершаемых за счет средств Субсидии.</w:t>
      </w:r>
    </w:p>
    <w:p w:rsidR="003042A2" w:rsidRDefault="008A46BF">
      <w:pPr>
        <w:pStyle w:val="ConsPlusNormal0"/>
        <w:jc w:val="both"/>
      </w:pPr>
      <w:r>
        <w:t>(п. 2.2 в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2.3. Размер Субсидии, предоставляемой Получателю субс</w:t>
      </w:r>
      <w:r>
        <w:t>идии, рассчитывается в следующем порядке: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V = SUM (</w:t>
      </w:r>
      <w:proofErr w:type="spellStart"/>
      <w:r>
        <w:t>Pi</w:t>
      </w:r>
      <w:proofErr w:type="spellEnd"/>
      <w:r>
        <w:t xml:space="preserve"> x </w:t>
      </w:r>
      <w:proofErr w:type="spellStart"/>
      <w:r>
        <w:t>ПрСт</w:t>
      </w:r>
      <w:proofErr w:type="gramStart"/>
      <w:r>
        <w:t>i</w:t>
      </w:r>
      <w:proofErr w:type="spellEnd"/>
      <w:proofErr w:type="gramEnd"/>
      <w:r>
        <w:t xml:space="preserve"> + </w:t>
      </w:r>
      <w:proofErr w:type="spellStart"/>
      <w:r>
        <w:t>Скi</w:t>
      </w:r>
      <w:proofErr w:type="spellEnd"/>
      <w:r>
        <w:t xml:space="preserve"> + </w:t>
      </w:r>
      <w:proofErr w:type="spellStart"/>
      <w:r>
        <w:t>Проi</w:t>
      </w:r>
      <w:proofErr w:type="spellEnd"/>
      <w:r>
        <w:t xml:space="preserve"> + </w:t>
      </w:r>
      <w:proofErr w:type="spellStart"/>
      <w:r>
        <w:t>Анi</w:t>
      </w:r>
      <w:proofErr w:type="spellEnd"/>
      <w:r>
        <w:t>), где: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lastRenderedPageBreak/>
        <w:t>V - размер субсидии;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spellStart"/>
      <w:r>
        <w:t>Pi</w:t>
      </w:r>
      <w:proofErr w:type="spellEnd"/>
      <w:r>
        <w:t xml:space="preserve"> - показатель, равный одному из следующих значений: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общей площади помещений i-</w:t>
      </w:r>
      <w:proofErr w:type="spellStart"/>
      <w:r>
        <w:t>го</w:t>
      </w:r>
      <w:proofErr w:type="spellEnd"/>
      <w:r>
        <w:t xml:space="preserve"> МКД, подлежащего капитальному ремонту общего имущества в рас</w:t>
      </w:r>
      <w:r>
        <w:t>четном периоде, отраженной в техническом паспорте i-</w:t>
      </w:r>
      <w:proofErr w:type="spellStart"/>
      <w:r>
        <w:t>го</w:t>
      </w:r>
      <w:proofErr w:type="spellEnd"/>
      <w:r>
        <w:t xml:space="preserve"> МКД, кв. м;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площади ремонтируемого элемента i-</w:t>
      </w:r>
      <w:proofErr w:type="spellStart"/>
      <w:r>
        <w:t>го</w:t>
      </w:r>
      <w:proofErr w:type="spellEnd"/>
      <w:r>
        <w:t xml:space="preserve"> МКД, отраженной в техническом паспорте i-</w:t>
      </w:r>
      <w:proofErr w:type="spellStart"/>
      <w:r>
        <w:t>го</w:t>
      </w:r>
      <w:proofErr w:type="spellEnd"/>
      <w:r>
        <w:t xml:space="preserve"> МКД, кв. м;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количеству подлежащих ремонту (замене) элементов в i-м МКД (в случае капитального ремонта (з</w:t>
      </w:r>
      <w:r>
        <w:t xml:space="preserve">амены) </w:t>
      </w:r>
      <w:proofErr w:type="spellStart"/>
      <w:r>
        <w:t>водоподогревателя</w:t>
      </w:r>
      <w:proofErr w:type="spellEnd"/>
      <w:r>
        <w:t>, индивидуального теплового пункта (теплового узла), лифтового оборудования), отраженному в техническом паспорте i-</w:t>
      </w:r>
      <w:proofErr w:type="spellStart"/>
      <w:r>
        <w:t>го</w:t>
      </w:r>
      <w:proofErr w:type="spellEnd"/>
      <w:r>
        <w:t xml:space="preserve"> МКД либо определенному в ходе осмотра i-</w:t>
      </w:r>
      <w:proofErr w:type="spellStart"/>
      <w:r>
        <w:t>го</w:t>
      </w:r>
      <w:proofErr w:type="spellEnd"/>
      <w:r>
        <w:t xml:space="preserve"> МКД;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spellStart"/>
      <w:r>
        <w:t>ПрСт</w:t>
      </w:r>
      <w:proofErr w:type="gramStart"/>
      <w:r>
        <w:t>i</w:t>
      </w:r>
      <w:proofErr w:type="spellEnd"/>
      <w:proofErr w:type="gramEnd"/>
      <w:r>
        <w:t xml:space="preserve"> - размер предельной стоимости проведения капитального ремонт</w:t>
      </w:r>
      <w:r>
        <w:t>а: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одного квадратного метра общей площади помещений i-</w:t>
      </w:r>
      <w:proofErr w:type="spellStart"/>
      <w:r>
        <w:t>го</w:t>
      </w:r>
      <w:proofErr w:type="spellEnd"/>
      <w:r>
        <w:t xml:space="preserve"> МКД;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одного квадратного метра площади ремонтируемого элемента i-</w:t>
      </w:r>
      <w:proofErr w:type="spellStart"/>
      <w:r>
        <w:t>го</w:t>
      </w:r>
      <w:proofErr w:type="spellEnd"/>
      <w:r>
        <w:t xml:space="preserve"> МКД;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замены одного элемента в i-м МКД.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Размер предельной стоимости устанавливается нормативными правовыми актами Мурманской об</w:t>
      </w:r>
      <w:r>
        <w:t>ласти;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spellStart"/>
      <w:r>
        <w:t>Ск</w:t>
      </w:r>
      <w:proofErr w:type="gramStart"/>
      <w:r>
        <w:t>i</w:t>
      </w:r>
      <w:proofErr w:type="spellEnd"/>
      <w:proofErr w:type="gramEnd"/>
      <w:r>
        <w:t xml:space="preserve"> - стоимость строительного контроля, проводимого в процессе оказания услуг и (или) выполнения работ в i-м МКД. Предельная стоимость услуг на осуществление строительного контроля составляет не более 1,5 % от стоимости строительно-монтажных работ;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spellStart"/>
      <w:r>
        <w:t>Про</w:t>
      </w:r>
      <w:proofErr w:type="gramStart"/>
      <w:r>
        <w:t>i</w:t>
      </w:r>
      <w:proofErr w:type="spellEnd"/>
      <w:proofErr w:type="gramEnd"/>
      <w:r>
        <w:t xml:space="preserve"> - стоимость изготовления проектной документации в i-м МКД в случаях, установленных законодательством Российской Федерации, проведения ее экспертизы. Стоимость проектных работ определяется на основании сборников базовых цен, действующих на территории М</w:t>
      </w:r>
      <w:r>
        <w:t>урманской области на период разработки проектной документации;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spellStart"/>
      <w:r>
        <w:t>Ан</w:t>
      </w:r>
      <w:proofErr w:type="gramStart"/>
      <w:r>
        <w:t>i</w:t>
      </w:r>
      <w:proofErr w:type="spellEnd"/>
      <w:proofErr w:type="gramEnd"/>
      <w:r>
        <w:t xml:space="preserve"> - стоимость авторского надзора за проведением работ, научного руководства проведением работ в i-м МКД. Применяется для МКД, признанного в установленном законодательством порядке объектом ку</w:t>
      </w:r>
      <w:r>
        <w:t>льтурного наследия, выявленным объектом культурного наследия. Предельная стоимость услуг на осуществление строительного контроля составляет не более 0,2 % от стоимости строительно-монтажных работ.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>. 2.3 в ред. Постановления Правительства Мурманской облас</w:t>
      </w:r>
      <w:r>
        <w:t>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2.4. Средства Субсидии направляются Получателем на финансовое обеспечение затрат по выполнению работ, указанных в </w:t>
      </w:r>
      <w:hyperlink w:anchor="P86" w:tooltip="2.1. Субсидия направлена на финансовое обеспечение капитального ремонта общего имущества многоквартирных домов (включая работы по оценке технического состояния многоквартирного дома, проведение инженерных изысканий для подготовки проектной документации, разраб">
        <w:r>
          <w:rPr>
            <w:color w:val="0000FF"/>
          </w:rPr>
          <w:t>пункте 2.1</w:t>
        </w:r>
      </w:hyperlink>
      <w:r>
        <w:t xml:space="preserve"> настоящего Порядка.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>. 2.4 в ред. постановления Правительства Мурма</w:t>
      </w:r>
      <w:r>
        <w:t>нской области от 13.07.2022 N 550-ПП)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2.5. Субсидия предоставляется на основании соглашения о предоставлении субсидии (далее - Соглашение), заключаемого в государственной интегрированной информационной системе управления общественными финансами "</w:t>
      </w:r>
      <w:r>
        <w:t>Электронный бюджет".</w:t>
      </w:r>
    </w:p>
    <w:p w:rsidR="003042A2" w:rsidRDefault="008A46BF">
      <w:pPr>
        <w:pStyle w:val="ConsPlusNormal0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09.08.2024 N 538-ПП)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Соглашение и дополнительные соглашения к указанному соглашению, предусматривающие внесение в него изменений или его расторжение, заключаются в соответствии </w:t>
      </w:r>
      <w:r>
        <w:t>с типовой формой, установленной Министерством финансов Мурманской области.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Для мероприятий, реализуемых в рамках направления расходов, предусмотренного </w:t>
      </w:r>
      <w:hyperlink w:anchor="P99" w:tooltip="к) Проведение капитального ремонта элементов общего имущества многоквартирных домов, выполняемого в рамках реализации мероприятий Плана социального развития центров экономического роста Мурманской области, утвержденного распоряжением Правительства Мурманской о">
        <w:r>
          <w:rPr>
            <w:color w:val="0000FF"/>
          </w:rPr>
          <w:t>подпунктом "к" пункта 2.1</w:t>
        </w:r>
      </w:hyperlink>
      <w:r>
        <w:t xml:space="preserve"> настоящего Порядка, заключается Соглашение</w:t>
      </w:r>
      <w:r>
        <w:t xml:space="preserve"> в соответствии с типовой формой, установленной Министерством финансов Российской Федерации.</w:t>
      </w:r>
    </w:p>
    <w:p w:rsidR="003042A2" w:rsidRDefault="008A46BF">
      <w:pPr>
        <w:pStyle w:val="ConsPlusNormal0"/>
        <w:jc w:val="both"/>
      </w:pPr>
      <w:r>
        <w:t>(абзац введен Постановлением Правительства Мурманской области от 09.08.2024 N 538-ПП)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2.6. Обязательными условиями предоставления Субсидии, включаемыми в соглашени</w:t>
      </w:r>
      <w:r>
        <w:t>е, являются: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2.6.1. Согласование Получателем субсидии новых условий соглашения или расторжение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Министерству ранее доведенных лимитов бюджетных обязательств, указанных в </w:t>
      </w:r>
      <w:hyperlink w:anchor="P76" w:tooltip="1.6. Главным распорядителем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, является Министерство">
        <w:r>
          <w:rPr>
            <w:color w:val="0000FF"/>
          </w:rPr>
          <w:t>пункте 1.6</w:t>
        </w:r>
      </w:hyperlink>
      <w:r>
        <w:t xml:space="preserve"> настоящего Порядка, приводящего к невозможности предоставления Субсидии в размере, определенном в соглашении.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2.6.2. При реорганизации Получателя субсидии в форме слияния, присоединения или преобразования в Соглашение вно</w:t>
      </w:r>
      <w:r>
        <w:t>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042A2" w:rsidRDefault="008A46BF">
      <w:pPr>
        <w:pStyle w:val="ConsPlusNormal0"/>
        <w:jc w:val="both"/>
      </w:pPr>
      <w:r>
        <w:t>(подп. 2.6.2 в ред. Постановления Правительства Мурманской области от 14</w:t>
      </w:r>
      <w:r>
        <w:t>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2.6.3. </w:t>
      </w:r>
      <w:proofErr w:type="gramStart"/>
      <w:r>
        <w:t>При реорганизации Получателя субсидии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</w:t>
      </w:r>
      <w:r>
        <w:t>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</w:t>
      </w:r>
      <w:r>
        <w:t>тствующий бюджет бюджетной системы Российской</w:t>
      </w:r>
      <w:proofErr w:type="gramEnd"/>
      <w:r>
        <w:t xml:space="preserve"> Федерации.</w:t>
      </w:r>
    </w:p>
    <w:p w:rsidR="003042A2" w:rsidRDefault="008A46BF">
      <w:pPr>
        <w:pStyle w:val="ConsPlusNormal0"/>
        <w:jc w:val="both"/>
      </w:pPr>
      <w:r>
        <w:t>(подп. 2.6.3 в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12" w:name="P151"/>
      <w:bookmarkEnd w:id="12"/>
      <w:r>
        <w:t>2.7. Для заключения соглашения Получатель субсидии не позднее одного рабочего дня до даты заключения Соглаше</w:t>
      </w:r>
      <w:r>
        <w:t>ния представляет главному распорядителю следующие документы:</w:t>
      </w:r>
    </w:p>
    <w:p w:rsidR="003042A2" w:rsidRDefault="008A46BF">
      <w:pPr>
        <w:pStyle w:val="ConsPlusNormal0"/>
        <w:jc w:val="both"/>
      </w:pPr>
      <w:r>
        <w:t>(в ред. Постановлений Правительства Мурманской области от 14.03.2024 N 170-ПП, от 30.09.2024 N 648-ПП)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2.7.1. </w:t>
      </w:r>
      <w:hyperlink w:anchor="P268" w:tooltip="ЗАЯВЛЕНИЕ">
        <w:r>
          <w:rPr>
            <w:color w:val="0000FF"/>
          </w:rPr>
          <w:t>Заявление</w:t>
        </w:r>
      </w:hyperlink>
      <w:r>
        <w:t xml:space="preserve"> о предоставлении Субсидии по форм</w:t>
      </w:r>
      <w:r>
        <w:t>е согласно приложению N 1 к настоящему Порядку.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2.7.2. Утратил силу. - Постановление Правительства Мурманской области от 14.03.2024 N 170-ПП.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2.7.3. Выписка из Единого государственного реестра юридических лиц или засвидетельствованная в нотариальном порядк</w:t>
      </w:r>
      <w:r>
        <w:t>е копия такой выписки, полученная не ранее чем за 30 календарных дней до даты подачи заявления о предоставлении Субсидии.</w:t>
      </w:r>
    </w:p>
    <w:p w:rsidR="003042A2" w:rsidRDefault="008A46BF">
      <w:pPr>
        <w:pStyle w:val="ConsPlusNormal0"/>
        <w:jc w:val="both"/>
      </w:pPr>
      <w:r>
        <w:lastRenderedPageBreak/>
        <w:t>(подп. 2.7.3 в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2.7.4. </w:t>
      </w:r>
      <w:proofErr w:type="gramStart"/>
      <w:r>
        <w:t>Справка налогового органа о том, что у Получателя субсидии отсутствует или не превышает размер, определенный пунктом 3 статьи 47 Налогового кодекса Российской Федерации, задолженность по налогам, сборам, страховым взносам, пеням, штрафам, процентам,</w:t>
      </w:r>
      <w:r>
        <w:t xml:space="preserve"> подлежащим уплате в соответствии с законодательством Российской Федерации о налогах и сборах, срок исполнения по которой наступил в соответствии с законодательством Российской Федерации, на первое число месяца, в</w:t>
      </w:r>
      <w:proofErr w:type="gramEnd"/>
      <w:r>
        <w:t xml:space="preserve"> </w:t>
      </w:r>
      <w:proofErr w:type="gramStart"/>
      <w:r>
        <w:t>котором</w:t>
      </w:r>
      <w:proofErr w:type="gramEnd"/>
      <w:r>
        <w:t xml:space="preserve"> планируется заключение Соглашения.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2.7.5. Справку в произвольной форме за подписью руководителя и главного бухгалтера Получателя субсидии об отсутствии просроченной задолженности по возврату в бюджет Мурманской </w:t>
      </w:r>
      <w:r>
        <w:t xml:space="preserve">области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иной просроченной задолженности перед бюджетом Мурманской области.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2.7.6. </w:t>
      </w:r>
      <w:proofErr w:type="gramStart"/>
      <w:r>
        <w:t>Письменное согласие Получателя субсидии и обязательство о включении в д</w:t>
      </w:r>
      <w:r>
        <w:t>оговоры (соглашения) с лицами, являющимися поставщиками (подрядчиками, исполнителями), заключенные в целях исполнения обязательств по Соглашению, условия о согласии на осуществление главным распорядителем как получателем бюджетных средств соблюдения порядк</w:t>
      </w:r>
      <w:r>
        <w:t>а и условий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Мурманской области соблюдения</w:t>
      </w:r>
      <w:proofErr w:type="gramEnd"/>
      <w:r>
        <w:t xml:space="preserve"> получателем субсидии порядка и условий предоставления субс</w:t>
      </w:r>
      <w:r>
        <w:t>идии в соответствии со статьями 268.1 и 269.2 Бюджетного кодекса Российской Федерации.</w:t>
      </w:r>
    </w:p>
    <w:p w:rsidR="003042A2" w:rsidRDefault="008A46BF">
      <w:pPr>
        <w:pStyle w:val="ConsPlusNormal0"/>
        <w:jc w:val="both"/>
      </w:pPr>
      <w:r>
        <w:t>(в ред. Постановлений Правительства Мурманской области от 18.05.2022 N 370-ПП,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2.7.7. </w:t>
      </w:r>
      <w:hyperlink w:anchor="P306" w:tooltip="ПЕРЕЧЕНЬ">
        <w:r>
          <w:rPr>
            <w:color w:val="0000FF"/>
          </w:rPr>
          <w:t>Перечень</w:t>
        </w:r>
      </w:hyperlink>
      <w:r>
        <w:t xml:space="preserve"> мероприят</w:t>
      </w:r>
      <w:r>
        <w:t xml:space="preserve">ий по капитальному ремонту элементов общего имущества многоквартирных домов, соответствующих целям предоставления Субсидии и условию, установленному </w:t>
      </w:r>
      <w:hyperlink w:anchor="P104" w:tooltip="2.2. Условиями предоставления Субсидии являются:">
        <w:r>
          <w:rPr>
            <w:color w:val="0000FF"/>
          </w:rPr>
          <w:t>пунктом 2.2.1</w:t>
        </w:r>
      </w:hyperlink>
      <w:r>
        <w:t xml:space="preserve"> настоящего П</w:t>
      </w:r>
      <w:r>
        <w:t>орядка, по форме согласно приложению N 2 к настоящему Порядку.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2.7.8. Утратил силу. - Постановление Правительства Мурманской области от 18.05.2022 N 370-ПП.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2.7.9. Копию уведомления об открытии расчетного счета для учета операций, совершаемых за счет средс</w:t>
      </w:r>
      <w:r>
        <w:t>тв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13" w:name="P165"/>
      <w:bookmarkEnd w:id="13"/>
      <w:r>
        <w:t xml:space="preserve">2.8. Главный распорядитель в течение десяти рабочих дней после предоставления документов, указанных в </w:t>
      </w:r>
      <w:hyperlink w:anchor="P151" w:tooltip="2.7. Для заключения соглашения Получатель субсидии не позднее одного рабочего дня до даты заключения Соглашения представляет главному распорядителю следующие документы:">
        <w:r>
          <w:rPr>
            <w:color w:val="0000FF"/>
          </w:rPr>
          <w:t>пункте 2.7</w:t>
        </w:r>
      </w:hyperlink>
      <w:r>
        <w:t xml:space="preserve"> настоящего Порядка, осуществляет проверку документов на их соответствие требованиям настоящего Порядка, а также проверку Получателя субсидии на соответствие требованиям настоящего Поряд</w:t>
      </w:r>
      <w:r>
        <w:t>ка и принимает решение о предоставлении (</w:t>
      </w:r>
      <w:proofErr w:type="spellStart"/>
      <w:r>
        <w:t>непредоставлении</w:t>
      </w:r>
      <w:proofErr w:type="spellEnd"/>
      <w:r>
        <w:t>) Субсидии.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В случае несоответствия представленных документов требованиям настоящего Порядка и (или) выявления недостоверности информации, содержащейся в документах, представленных Получателем субсидии, главный распорядитель направляет Получателю субсидии письменное </w:t>
      </w:r>
      <w:r>
        <w:lastRenderedPageBreak/>
        <w:t>у</w:t>
      </w:r>
      <w:r>
        <w:t>ведомление об отказе в предоставлении Субсидии в течение пяти рабочих дней после принятия соответствующего решения.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Отказ в предоставлении Субсидии не препятствует повторному обращению при соблюдении условий, предусмотренных настоящим Порядком.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Повторная п</w:t>
      </w:r>
      <w:r>
        <w:t xml:space="preserve">роверка документов на предмет их соответствия требованиям настоящего Порядка производится главным распорядителем в сроки, установленные </w:t>
      </w:r>
      <w:hyperlink w:anchor="P165" w:tooltip="2.8. Главный распорядитель в течение десяти рабочих дней после предоставления документов, указанных в пункте 2.7 настоящего Порядка, осуществляет проверку документов на их соответствие требованиям настоящего Порядка, а также проверку Получателя субсидии на соо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В случае соответствия документов требованиям наст</w:t>
      </w:r>
      <w:r>
        <w:t>оящего Порядка главный распорядитель в течение пяти рабочих дней после принятия соответствующего решения направляет Получателю субсидии уведомление о предоставлении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Основаниями для отказа Получателю субсидии в предоставлении Субсидии являются:</w:t>
      </w:r>
    </w:p>
    <w:p w:rsidR="003042A2" w:rsidRDefault="008A46BF">
      <w:pPr>
        <w:pStyle w:val="ConsPlusNormal0"/>
        <w:jc w:val="both"/>
      </w:pPr>
      <w:r>
        <w:t>(а</w:t>
      </w:r>
      <w:r>
        <w:t>бзац введен Постановлением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несоответствие представленных Получателем субсидии документов требованиям, определенным правовым актом, или непредставление (представление не в полном объеме) указанных д</w:t>
      </w:r>
      <w:r>
        <w:t>окументов;</w:t>
      </w:r>
    </w:p>
    <w:p w:rsidR="003042A2" w:rsidRDefault="008A46BF">
      <w:pPr>
        <w:pStyle w:val="ConsPlusNormal0"/>
        <w:jc w:val="both"/>
      </w:pPr>
      <w:r>
        <w:t>(абзац введен Постановлением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установление факта недостоверности представленной Получателем субсидии информации.</w:t>
      </w:r>
    </w:p>
    <w:p w:rsidR="003042A2" w:rsidRDefault="008A46BF">
      <w:pPr>
        <w:pStyle w:val="ConsPlusNormal0"/>
        <w:jc w:val="both"/>
      </w:pPr>
      <w:r>
        <w:t>(абзац введен Постановлением Правительства Мурманской области от 14.03.202</w:t>
      </w:r>
      <w:r>
        <w:t>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2.9. Перечисление Субсидии Фонду Министерством производится согласно плану-графику перечисления субсидии, являющемуся приложением к Соглашению.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Перечисление Субсидии осуществляется на расчетный счет Получателя субсидии, открытый в кредитной орг</w:t>
      </w:r>
      <w:r>
        <w:t>анизации.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2.10. Объем финансирования работ по капитальному ремонту общего имущества многоквартирных домов, указанных в </w:t>
      </w:r>
      <w:hyperlink w:anchor="P86" w:tooltip="2.1. Субсидия направлена на финансовое обеспечение капитального ремонта общего имущества многоквартирных домов (включая работы по оценке технического состояния многоквартирного дома, проведение инженерных изысканий для подготовки проектной документации, разраб">
        <w:r>
          <w:rPr>
            <w:color w:val="0000FF"/>
          </w:rPr>
          <w:t>пункте 2.1</w:t>
        </w:r>
      </w:hyperlink>
      <w:r>
        <w:t xml:space="preserve"> настоящего Порядка, в отношении каждого конкретного дома </w:t>
      </w:r>
      <w:proofErr w:type="gramStart"/>
      <w:r>
        <w:t>равен стоимости работ по контракт</w:t>
      </w:r>
      <w:r>
        <w:t>у и не может</w:t>
      </w:r>
      <w:proofErr w:type="gramEnd"/>
      <w:r>
        <w:t xml:space="preserve"> превышать сумму сметной стоимости работ, прошедшей проверку достоверности определения сметной стоимости.</w:t>
      </w:r>
    </w:p>
    <w:p w:rsidR="003042A2" w:rsidRDefault="008A46BF">
      <w:pPr>
        <w:pStyle w:val="ConsPlusNormal0"/>
        <w:jc w:val="both"/>
      </w:pPr>
      <w:r>
        <w:t>(в ред. Постановлений Правительства Мурманской области от 12.01.2023 N 11-ПП,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2.11. Субсидия </w:t>
      </w:r>
      <w:proofErr w:type="gramStart"/>
      <w:r>
        <w:t>носит целевой характе</w:t>
      </w:r>
      <w:r>
        <w:t>р и не может</w:t>
      </w:r>
      <w:proofErr w:type="gramEnd"/>
      <w:r>
        <w:t xml:space="preserve"> быть использована на другие цели.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2.12. </w:t>
      </w:r>
      <w:proofErr w:type="gramStart"/>
      <w:r>
        <w:t xml:space="preserve">Результатом предоставления субсидии для направления расходов, установленного </w:t>
      </w:r>
      <w:hyperlink w:anchor="P99" w:tooltip="к) Проведение капитального ремонта элементов общего имущества многоквартирных домов, выполняемого в рамках реализации мероприятий Плана социального развития центров экономического роста Мурманской области, утвержденного распоряжением Правительства Мурманской о">
        <w:r>
          <w:rPr>
            <w:color w:val="0000FF"/>
          </w:rPr>
          <w:t>подпунктом "к" пункта 2.1</w:t>
        </w:r>
      </w:hyperlink>
      <w:r>
        <w:t>, является количество реализованных мероприятий Плана социального</w:t>
      </w:r>
      <w:r>
        <w:t xml:space="preserve"> развития центров экономического роста Мурманской области, утвержденного распоряжением Правительства Мурманской области от 25.11.2022 N 302-РП.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Значение и дата завершения результата предоставления субсидии устанавливается в соглашении.</w:t>
      </w:r>
    </w:p>
    <w:p w:rsidR="003042A2" w:rsidRDefault="008A46BF">
      <w:pPr>
        <w:pStyle w:val="ConsPlusNormal0"/>
        <w:jc w:val="both"/>
      </w:pPr>
      <w:r>
        <w:t>(подп. 2.12 в ред. П</w:t>
      </w:r>
      <w:r>
        <w:t>остановления Правительства Мурманской области от 30.09.2024 N 648-ПП)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14" w:name="P185"/>
      <w:bookmarkEnd w:id="14"/>
      <w:r>
        <w:lastRenderedPageBreak/>
        <w:t xml:space="preserve">2.13. Результатом предоставления субсидии для направлений расходов, установленных </w:t>
      </w:r>
      <w:hyperlink w:anchor="P88" w:tooltip="а) Капитальный ремонт элементов общего имущества многоквартирных домов, за исключением работ, указанных в подпунктах &quot;б&quot; - &quot;ж&quot; настоящего пункта.">
        <w:r>
          <w:rPr>
            <w:color w:val="0000FF"/>
          </w:rPr>
          <w:t>пунктами "а"</w:t>
        </w:r>
      </w:hyperlink>
      <w:r>
        <w:t xml:space="preserve"> - </w:t>
      </w:r>
      <w:hyperlink w:anchor="P97" w:tooltip="и) Выполнение работ по оценке технического состояния многоквартирного дома, разработка проектной документации на проведение капитального ремонта общего имущества многоквартирных домов, включая проведение инженерных изысканий для подготовки проектной документац">
        <w:r>
          <w:rPr>
            <w:color w:val="0000FF"/>
          </w:rPr>
          <w:t>"и" пункта 2.1</w:t>
        </w:r>
      </w:hyperlink>
      <w:r>
        <w:t>, является: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"Количество капитально отремонтированных элементов общего имущества многоквартирных домов";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"Количество разработанной проектной документации по проведению капитального ремонта элементов многок</w:t>
      </w:r>
      <w:r>
        <w:t>вартирных домов, если проведение строительно-монтажных работ по данным элементам запланировано на последующие годы";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"Количество выполненного авторского надзора за проведением работ по капитальному ремонту общего имущества в домах, являющихся объектами к</w:t>
      </w:r>
      <w:r>
        <w:t>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Федерации";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"Количество работ по устранению недостатков качества услуг и (или) работ, оказанных (выполненных)</w:t>
      </w:r>
      <w:r>
        <w:t xml:space="preserve"> по договорам строительного подряда, предусмотренным частью 7 статьи 166 ЖК РФ, в том числе выявленных в период гарантийного срока".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21.02.2025 N 125-ПП)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Значение и дата завершения результата предос</w:t>
      </w:r>
      <w:r>
        <w:t>тавления субсидии устанавливается в соглашении. Результат предоставления субсидии считается достигнутым в полном объеме при выполнении на 90 и более процентов;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gramStart"/>
      <w:r>
        <w:t>- "Количество элементов общего имущества многоквартирных домов, в которых проведено обследование</w:t>
      </w:r>
      <w:r>
        <w:t xml:space="preserve"> технического состояния в соответствии с Порядком организации проведения обследования технического состояния многоквартирных домов, включенных в региональную программу капитального ремонта общего имущества в многоквартирных домах, и учета результатов обсле</w:t>
      </w:r>
      <w:r>
        <w:t>дования технического состояния многоквартирных домов, включенных в региональную программу капитального ремонта общего имущества в многоквартирных домах".</w:t>
      </w:r>
      <w:proofErr w:type="gramEnd"/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а</w:t>
      </w:r>
      <w:proofErr w:type="gramEnd"/>
      <w:r>
        <w:t>бзац введен Постановлением Правительства Мурманской области от 24.06.2025 N 428-ПП)</w:t>
      </w:r>
    </w:p>
    <w:p w:rsidR="003042A2" w:rsidRDefault="008A46BF">
      <w:pPr>
        <w:pStyle w:val="ConsPlusNormal0"/>
        <w:jc w:val="both"/>
      </w:pPr>
      <w:r>
        <w:t>(подп. 2.13 в ред. Постановления Правительства Мурманской области от 30.09.2024 N 648-ПП)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15" w:name="P195"/>
      <w:bookmarkEnd w:id="15"/>
      <w:r>
        <w:t>2.14. В случае формирования экономии по любому из направлений расходов средства сложившейся экономии могут быть использованы для выполнения дополнительных работ по ка</w:t>
      </w:r>
      <w:r>
        <w:t xml:space="preserve">питальному ремонту общего имущества многоквартирных домов, установленных </w:t>
      </w:r>
      <w:hyperlink w:anchor="P86" w:tooltip="2.1. Субсидия направлена на финансовое обеспечение капитального ремонта общего имущества многоквартирных домов (включая работы по оценке технического состояния многоквартирного дома, проведение инженерных изысканий для подготовки проектной документации, разраб">
        <w:r>
          <w:rPr>
            <w:color w:val="0000FF"/>
          </w:rPr>
          <w:t>пунктом 2.1</w:t>
        </w:r>
      </w:hyperlink>
      <w:r>
        <w:t>.</w:t>
      </w:r>
    </w:p>
    <w:p w:rsidR="003042A2" w:rsidRDefault="008A46BF">
      <w:pPr>
        <w:pStyle w:val="ConsPlusNormal0"/>
        <w:jc w:val="both"/>
      </w:pPr>
      <w:r>
        <w:t>(п. 2.14 в ред. Постановления Правительства Мурманской области от 13.07.2022 N 550-ПП)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2.15. </w:t>
      </w:r>
      <w:proofErr w:type="gramStart"/>
      <w:r>
        <w:t>В случае формирования на конец финансовог</w:t>
      </w:r>
      <w:r>
        <w:t>о года остатков средств Субсидии, предоставленной за счет областного бюджета, Получатель субсидии не позднее 18 января года, следующего за отчетным, выносит на заседание Правления НКО "ФКР МО" рассмотрение вопроса о причинах формирования остатков Субсидии.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proofErr w:type="gramStart"/>
      <w:r>
        <w:t xml:space="preserve">Протокол заседания Правления НКО "ФКР МО" с обосновывающими документами, подтверждающими наличие и объем принятых, но не исполненных обязательств, подлежавших оплате в отчетном финансовом году, и </w:t>
      </w:r>
      <w:hyperlink w:anchor="P958" w:tooltip="ИНФОРМАЦИЯ">
        <w:r>
          <w:rPr>
            <w:color w:val="0000FF"/>
          </w:rPr>
          <w:t>информацию</w:t>
        </w:r>
      </w:hyperlink>
      <w:r>
        <w:t xml:space="preserve"> об ис</w:t>
      </w:r>
      <w:r>
        <w:t>пользовании остатков средств Субсидии по форме, установленной приложением N 5 к настоящему Порядку, направляются главному распорядителю в срок не позднее 1 февраля текущего финансового года.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proofErr w:type="gramStart"/>
      <w:r>
        <w:lastRenderedPageBreak/>
        <w:t>Главный распорядитель рассматривает предоставленную Получателем с</w:t>
      </w:r>
      <w:r>
        <w:t>убсидии информацию, принимает решение о наличии потребности в остатках субсидии или возврате указанных средств при отсутствии в них потребности и направляет указанное решение на согласование в Министерство финансов в порядке и сроки, установленные Порядком</w:t>
      </w:r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</w:t>
      </w:r>
      <w:proofErr w:type="gramEnd"/>
      <w:r>
        <w:t xml:space="preserve"> субсидий, на финансовое обеспечение затрат в связи с производством (реализацией) товаров, выполнением </w:t>
      </w:r>
      <w:r>
        <w:t>работ, оказанием услуг, не использованных в отчетном финансовом году,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потребности, утвержденным постановлением Правительства Мурманской области от 22.04.2022 N 314-ПП, с учетом положений, установленных но</w:t>
      </w:r>
      <w:r>
        <w:t>рмативными правовыми актами, регулирующими исполнение областного бюджета.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12.01.2023 N 11-ПП)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Данное решение о наличии потребности или возврате средств не позднее двух рабочих дней со дня его соглас</w:t>
      </w:r>
      <w:r>
        <w:t>ования Министерством финансов Мурманской области направляется главным распорядителем в адрес Получателя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При принятии решения о возврате остатков Субсидии Получатель субсидии обязан возвратить их в областной бюджет в течение 30 рабочих дней </w:t>
      </w:r>
      <w:proofErr w:type="gramStart"/>
      <w:r>
        <w:t>с даты</w:t>
      </w:r>
      <w:r>
        <w:t xml:space="preserve"> отправки</w:t>
      </w:r>
      <w:proofErr w:type="gramEnd"/>
      <w:r>
        <w:t xml:space="preserve"> уведомления о возврате бюджетных средств по реквизитам и коду бюджетной классификации Российской Федерации, указанным в уведомлении.</w:t>
      </w:r>
    </w:p>
    <w:p w:rsidR="003042A2" w:rsidRDefault="008A46BF">
      <w:pPr>
        <w:pStyle w:val="ConsPlusNormal0"/>
        <w:jc w:val="both"/>
      </w:pPr>
      <w:r>
        <w:t xml:space="preserve">(п. 2.15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13.07.2022 N 550-ПП)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2.16. Относительно направ</w:t>
      </w:r>
      <w:r>
        <w:t xml:space="preserve">ления расходов, указанных в </w:t>
      </w:r>
      <w:hyperlink w:anchor="P95" w:tooltip="з) Работы по устранению недостатков качества услуг и (или) работ, в том числе выявленных в период гарантийного срока, если подрядная организация не приступила к устранению указанных недостатков в течение девяти месяцев после истечения сроков, установленных под">
        <w:r>
          <w:rPr>
            <w:color w:val="0000FF"/>
          </w:rPr>
          <w:t>подпункте "з" пункта 2.1</w:t>
        </w:r>
      </w:hyperlink>
      <w:r>
        <w:t xml:space="preserve"> настоящего Порядка, средства, возмещенные Получателю субсидии подрядной организацией добровольно либо в судебном порядке, подлежат возврату в областной бюджет в полном</w:t>
      </w:r>
      <w:r>
        <w:t xml:space="preserve"> объеме не позднее 30 дней с момента получения указанных средств Получателем субсидии.</w:t>
      </w:r>
    </w:p>
    <w:p w:rsidR="003042A2" w:rsidRDefault="008A46BF">
      <w:pPr>
        <w:pStyle w:val="ConsPlusNormal0"/>
        <w:jc w:val="both"/>
      </w:pPr>
      <w:r>
        <w:t xml:space="preserve">(п. 2.16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13.07.2022 N 550-ПП)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  <w:outlineLvl w:val="1"/>
      </w:pPr>
      <w:r>
        <w:t>3. Требования к отчетности</w:t>
      </w:r>
    </w:p>
    <w:p w:rsidR="003042A2" w:rsidRDefault="003042A2">
      <w:pPr>
        <w:pStyle w:val="ConsPlusNormal0"/>
        <w:jc w:val="center"/>
      </w:pPr>
    </w:p>
    <w:p w:rsidR="003042A2" w:rsidRDefault="008A46BF">
      <w:pPr>
        <w:pStyle w:val="ConsPlusNormal0"/>
        <w:jc w:val="center"/>
      </w:pPr>
      <w:proofErr w:type="gramStart"/>
      <w:r>
        <w:t>(в ред. Постановления Правительства Мурманской облас</w:t>
      </w:r>
      <w:r>
        <w:t>ти</w:t>
      </w:r>
      <w:proofErr w:type="gramEnd"/>
    </w:p>
    <w:p w:rsidR="003042A2" w:rsidRDefault="008A46BF">
      <w:pPr>
        <w:pStyle w:val="ConsPlusNormal0"/>
        <w:jc w:val="center"/>
      </w:pPr>
      <w:r>
        <w:t>от 14.03.2024 N 170-ПП)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 xml:space="preserve">3.1. </w:t>
      </w:r>
      <w:proofErr w:type="gramStart"/>
      <w:r>
        <w:t>Получатель субсидии ежеквартально, не позднее 8-го числа месяца, следующего за отчетным периодом (отчет по итогам отчетного года - не позднее 17 января года, следующего за отчетным), направляет главному распорядителю следую</w:t>
      </w:r>
      <w:r>
        <w:t>щие отчеты: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- отчет о достижении значений результатов предоставления Субсидии по форме, определенной Соглашением;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Субсидия, по форме, определенной Соглашением.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Получател</w:t>
      </w:r>
      <w:r>
        <w:t xml:space="preserve">ем субсидии в адрес главного распорядителя </w:t>
      </w:r>
      <w:proofErr w:type="gramStart"/>
      <w:r>
        <w:t>предоставляется дополнительный отчет</w:t>
      </w:r>
      <w:proofErr w:type="gramEnd"/>
      <w:r>
        <w:t xml:space="preserve"> о реализации Субсидии в сроки и по форме, которые определены Соглашением.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3.2. Главный распорядитель осуществляет проверку отчетности, предоставленной </w:t>
      </w:r>
      <w:r>
        <w:lastRenderedPageBreak/>
        <w:t>Получателем субсидии, в с</w:t>
      </w:r>
      <w:r>
        <w:t>рок не позднее 7 рабочих дней со дня предоставления.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В случае выявления главным распорядителем недоработок и (или) недостоверности информации, содержащейся в отчетах, главный распорядитель в течение трех рабочих дней направляет Получателю субсидии требован</w:t>
      </w:r>
      <w:r>
        <w:t>ие об устранении выявленных недочетов в срок, указанный в требовании.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Повторная проверка отчетов производится главным распорядителем в сроки, установленные абзацем первым настоящего пункта.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В случае </w:t>
      </w:r>
      <w:proofErr w:type="spellStart"/>
      <w:r>
        <w:t>ненаправления</w:t>
      </w:r>
      <w:proofErr w:type="spellEnd"/>
      <w:r>
        <w:t xml:space="preserve"> вышеуказанного требования в течение срока, указанного в абзаце втором настоящего пункта, отчет считается принятым.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3.3. </w:t>
      </w:r>
      <w:proofErr w:type="gramStart"/>
      <w:r>
        <w:t>В отношении средств федерального бюджета Получатель ежеквартально, не позднее 8-го числа месяца, следующего за от</w:t>
      </w:r>
      <w:r>
        <w:t>четным периодом (отчет по итогам отчетного года - не позднее 17 января года, следующего за отчетным), направляет главному распорядителю следующие отчеты: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Субсидия, по фо</w:t>
      </w:r>
      <w:r>
        <w:t>рме, определенной Соглашением;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отчет о достижении значений результатов предоставления Субсидии по форме, определенной Соглашением.</w:t>
      </w:r>
    </w:p>
    <w:p w:rsidR="003042A2" w:rsidRDefault="008A46BF">
      <w:pPr>
        <w:pStyle w:val="ConsPlusNormal0"/>
        <w:jc w:val="both"/>
      </w:pPr>
      <w:r>
        <w:t xml:space="preserve">(п. 3.3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09.08.2024 N 538-ПП)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  <w:outlineLvl w:val="1"/>
      </w:pPr>
      <w:r>
        <w:t>4. Требования об осуществлении конт</w:t>
      </w:r>
      <w:r>
        <w:t>роля (мониторинга)</w:t>
      </w:r>
    </w:p>
    <w:p w:rsidR="003042A2" w:rsidRDefault="008A46BF">
      <w:pPr>
        <w:pStyle w:val="ConsPlusTitle0"/>
        <w:jc w:val="center"/>
      </w:pPr>
      <w:r>
        <w:t>за соблюдением условий и порядка предоставления субсидий</w:t>
      </w:r>
    </w:p>
    <w:p w:rsidR="003042A2" w:rsidRDefault="008A46BF">
      <w:pPr>
        <w:pStyle w:val="ConsPlusTitle0"/>
        <w:jc w:val="center"/>
      </w:pPr>
      <w:r>
        <w:t>и ответственности за их нарушение</w:t>
      </w:r>
    </w:p>
    <w:p w:rsidR="003042A2" w:rsidRDefault="008A46BF">
      <w:pPr>
        <w:pStyle w:val="ConsPlusNormal0"/>
        <w:jc w:val="center"/>
      </w:pPr>
      <w:proofErr w:type="gramStart"/>
      <w:r>
        <w:t>(в ред. Постановления Правительства Мурманской области</w:t>
      </w:r>
      <w:proofErr w:type="gramEnd"/>
    </w:p>
    <w:p w:rsidR="003042A2" w:rsidRDefault="008A46BF">
      <w:pPr>
        <w:pStyle w:val="ConsPlusNormal0"/>
        <w:jc w:val="center"/>
      </w:pPr>
      <w:r>
        <w:t>от 18.05.2022 N 370-ПП)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4.1. Получатель субсидии несет ответственность за полноту и достоверность предоставляемых в соответствии с заключенным Соглашением документов, а также за целевое и эффективное использование Субсидии в соответствии с действующим законодательством Российской</w:t>
      </w:r>
      <w:r>
        <w:t xml:space="preserve">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4.2. Главный распорядитель осуществляет проверки соблюдения получателем субсидии порядка и условий предоставления субсидий, в том числе в части достижения результата предоставления субсидии, а также органы государственного финансового контроля </w:t>
      </w:r>
      <w:r>
        <w:t>Мурманской области осуществляют проверки в соответствии со статьями 268.1 и 269.2 Бюджетного кодекса Российской Федерации.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4.2.1. </w:t>
      </w:r>
      <w:proofErr w:type="gramStart"/>
      <w:r>
        <w:t>Главный распорядитель осуществляет проведение м</w:t>
      </w:r>
      <w:r>
        <w:t>ониторинга достижения результата предоставления Субсидии исходя из достижения значений результата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</w:t>
      </w:r>
      <w:r>
        <w:t xml:space="preserve">убсидии (контрольная точка), в порядке и по формам, которые установлены приказом Министерства финансов Российской Федерации от 27.04.2024 N 53н "Об утверждении порядка проведения мониторинга достижения результатов </w:t>
      </w:r>
      <w:r>
        <w:lastRenderedPageBreak/>
        <w:t>предоставления субсидий, в том числе</w:t>
      </w:r>
      <w:proofErr w:type="gramEnd"/>
      <w:r>
        <w:t xml:space="preserve"> грант</w:t>
      </w:r>
      <w:r>
        <w:t>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 (далее - Порядок проведения мониторинга).</w:t>
      </w:r>
    </w:p>
    <w:p w:rsidR="003042A2" w:rsidRDefault="008A46BF">
      <w:pPr>
        <w:pStyle w:val="ConsPlusNormal0"/>
        <w:jc w:val="both"/>
      </w:pPr>
      <w:r>
        <w:t>(подп. 4.2.1 в ред. Постановления Пр</w:t>
      </w:r>
      <w:r>
        <w:t>авительства Мурманской области от 09.08.2024 N 538-ПП)</w:t>
      </w:r>
    </w:p>
    <w:p w:rsidR="003042A2" w:rsidRDefault="008A46BF">
      <w:pPr>
        <w:pStyle w:val="ConsPlusNormal0"/>
        <w:jc w:val="both"/>
      </w:pPr>
      <w:r>
        <w:t>(п. 4.2 в ред. Постановления Правительства Мурманской области от 18.05.2022 N 370-ПП)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4.2.2. Контрольные точки с указанием плановых дат их достижения устанавливаются в Соглашении в соответствии с плано</w:t>
      </w:r>
      <w:r>
        <w:t>м мероприятий по достижению результата предоставления субсидии, формируемым главным распорядителем по форме и в сроки, установленные Порядком проведения мониторинга.</w:t>
      </w:r>
    </w:p>
    <w:p w:rsidR="003042A2" w:rsidRDefault="008A46BF">
      <w:pPr>
        <w:pStyle w:val="ConsPlusNormal0"/>
        <w:jc w:val="both"/>
      </w:pPr>
      <w:r>
        <w:t xml:space="preserve">(подп. 4.2.2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14.03.2024 N 170-ПП</w:t>
      </w:r>
      <w:r>
        <w:t>)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16" w:name="P239"/>
      <w:bookmarkEnd w:id="16"/>
      <w:r>
        <w:t>4.3. В случае установления главным распорядителем по результату проверок или получения от органов государственного финансового контроля Мурманской области информации о факт</w:t>
      </w:r>
      <w:proofErr w:type="gramStart"/>
      <w:r>
        <w:t>е(</w:t>
      </w:r>
      <w:proofErr w:type="gramEnd"/>
      <w:r>
        <w:t>ах) нарушения Получателем субсидии условий и порядка предоставления Субсидии, пр</w:t>
      </w:r>
      <w:r>
        <w:t>едусмотренных настоящим Порядком, в том числе указания в документах, предоставленных Получателем субсидии в соответствии с соглашением, недостоверных сведений, главный распорядитель в течение трех рабочих дней после завершения проверки направляет Получател</w:t>
      </w:r>
      <w:r>
        <w:t>ю субсидии письменное требование о возврате денежных средств (далее - Требование) в полном объеме.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4.4. В случае если в доработанных отчетах представленные сведения не соответст</w:t>
      </w:r>
      <w:r>
        <w:t>вуют целевому назначению, средства в объеме нецелевого использования подлежат возврату в доход областного бюджета в соответствии с бюджетным законодательством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Возврат средств Субсидии производится Получателем субсидии в течение 30 раб</w:t>
      </w:r>
      <w:r>
        <w:t>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4.5. В случае </w:t>
      </w:r>
      <w:proofErr w:type="spellStart"/>
      <w:r>
        <w:t>недостижения</w:t>
      </w:r>
      <w:proofErr w:type="spellEnd"/>
      <w:r>
        <w:t xml:space="preserve"> результата предоставления Субсидии по итогам отчетного года, </w:t>
      </w:r>
      <w:proofErr w:type="gramStart"/>
      <w:r>
        <w:t>указанных</w:t>
      </w:r>
      <w:proofErr w:type="gramEnd"/>
      <w:r>
        <w:t xml:space="preserve"> в </w:t>
      </w:r>
      <w:hyperlink w:anchor="P185" w:tooltip="2.13. Результатом предоставления субсидии для направлений расходов, установленных пунктами &quot;а&quot; - &quot;и&quot; пункта 2.1, является:">
        <w:r>
          <w:rPr>
            <w:color w:val="0000FF"/>
          </w:rPr>
          <w:t>пункте 2.13</w:t>
        </w:r>
      </w:hyperlink>
      <w:r>
        <w:t xml:space="preserve"> настоящего Порядка, средства Субсидии подлежат возврату в доход областного бюджета не п</w:t>
      </w:r>
      <w:r>
        <w:t>озднее 1 июня года, следующего за отчетным.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4.6. Объем средств Субсидии, подлежащий возврату в областной бюджет (</w:t>
      </w: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) в случае </w:t>
      </w:r>
      <w:proofErr w:type="spellStart"/>
      <w:r>
        <w:t>недостижения</w:t>
      </w:r>
      <w:proofErr w:type="spellEnd"/>
      <w:r>
        <w:t xml:space="preserve"> результата предоставления Субси</w:t>
      </w:r>
      <w:r>
        <w:t>дии, рассчитывается по формуле: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 = </w:t>
      </w:r>
      <w:proofErr w:type="spellStart"/>
      <w:r>
        <w:t>Vсубсидии</w:t>
      </w:r>
      <w:proofErr w:type="spellEnd"/>
      <w:r>
        <w:t xml:space="preserve"> x k x 0,1, где: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proofErr w:type="spellStart"/>
      <w:proofErr w:type="gramStart"/>
      <w:r>
        <w:t>V</w:t>
      </w:r>
      <w:proofErr w:type="gramEnd"/>
      <w:r>
        <w:t>субсидии</w:t>
      </w:r>
      <w:proofErr w:type="spellEnd"/>
      <w:r>
        <w:t xml:space="preserve"> - размер Субсидии, предоставленной Получателю субсидии в отчетном финансовом году;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k - коэффициент возврата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При расчете объема средств, подлежащих возврату в област</w:t>
      </w:r>
      <w:r>
        <w:t>ной бюджет, в размере Субсидии, предоставленной Получателю субсидии в отчетном финансовом году (</w:t>
      </w:r>
      <w:proofErr w:type="spellStart"/>
      <w:proofErr w:type="gramStart"/>
      <w:r>
        <w:t>V</w:t>
      </w:r>
      <w:proofErr w:type="gramEnd"/>
      <w:r>
        <w:t>субсидии</w:t>
      </w:r>
      <w:proofErr w:type="spellEnd"/>
      <w:r>
        <w:t xml:space="preserve">), не учитывается размер остатка Субсидии, не использованного по состоянию на 1 января текущего финансового </w:t>
      </w:r>
      <w:r>
        <w:lastRenderedPageBreak/>
        <w:t>года, потребность в котором не подтверждена</w:t>
      </w:r>
      <w:r>
        <w:t xml:space="preserve"> Министерством.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Коэффициент возврата Субсидии рассчитывается по формуле: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k = 1 - T / S, где: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T - фактически достигнутое значение результата предоставления Субсидии на отчетную дату;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S - плановое значение результата предоставления Субсидии, установленное </w:t>
      </w:r>
      <w:r>
        <w:t>в Соглашении.</w:t>
      </w:r>
    </w:p>
    <w:p w:rsidR="003042A2" w:rsidRDefault="008A46BF">
      <w:pPr>
        <w:pStyle w:val="ConsPlusNormal0"/>
        <w:jc w:val="both"/>
      </w:pPr>
      <w:r>
        <w:t>(п. 4.6 в ред. Постановления Правительства Мурманской области от 24.06.2025 N 428-ПП)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4.7. </w:t>
      </w:r>
      <w:proofErr w:type="gramStart"/>
      <w:r>
        <w:t xml:space="preserve">В случае если Получатель субсидии не произвел возврат средств Субсидии в сроки, установленные в Требовании, главный распорядитель в течение 30 рабочих </w:t>
      </w:r>
      <w:r>
        <w:t xml:space="preserve">дней со дня истечения сроков возврата Субсидии, установленных </w:t>
      </w:r>
      <w:hyperlink w:anchor="P239" w:tooltip="4.3. В случае установления главным распорядителем по результату проверок или получения от органов государственного финансового контроля Мурманской области информации о факте(ах) нарушения Получателем субсидии условий и порядка предоставления Субсидии, предусмо">
        <w:r>
          <w:rPr>
            <w:color w:val="0000FF"/>
          </w:rPr>
          <w:t>пунктами 4.3</w:t>
        </w:r>
      </w:hyperlink>
      <w:r>
        <w:t xml:space="preserve">, </w:t>
      </w:r>
      <w:hyperlink w:anchor="P195" w:tooltip="2.14. В случае формирования экономии по любому из направлений расходов средства сложившейся экономии могут быть использованы для выполнения дополнительных работ по капитальному ремонту общего имущества многоквартирных домов, установленных пунктом 2.1.">
        <w:r>
          <w:rPr>
            <w:color w:val="0000FF"/>
          </w:rPr>
          <w:t>2.14</w:t>
        </w:r>
      </w:hyperlink>
      <w:r>
        <w:t xml:space="preserve"> настоящего Порядка, принимает меры по взысканию средств Субсидии в доход бюджета Мурманской области в судебном</w:t>
      </w:r>
      <w:r>
        <w:t xml:space="preserve"> порядке в соответствии с действующим законодательством Российской Федерации.</w:t>
      </w:r>
      <w:proofErr w:type="gramEnd"/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1"/>
      </w:pPr>
      <w:r>
        <w:t>Приложение N 1</w:t>
      </w:r>
    </w:p>
    <w:p w:rsidR="003042A2" w:rsidRDefault="008A46BF">
      <w:pPr>
        <w:pStyle w:val="ConsPlusNormal0"/>
        <w:jc w:val="right"/>
      </w:pPr>
      <w:r>
        <w:t>к Порядку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center"/>
      </w:pPr>
      <w:bookmarkStart w:id="17" w:name="P268"/>
      <w:bookmarkEnd w:id="17"/>
      <w:r>
        <w:t>ЗАЯВЛЕНИЕ</w:t>
      </w:r>
    </w:p>
    <w:p w:rsidR="003042A2" w:rsidRDefault="008A46BF">
      <w:pPr>
        <w:pStyle w:val="ConsPlusNormal0"/>
        <w:jc w:val="center"/>
      </w:pPr>
      <w:r>
        <w:t>О ПРЕДОСТАВЛЕНИИ СУБСИДИИ</w:t>
      </w: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sectPr w:rsidR="003042A2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6"/>
        <w:gridCol w:w="1946"/>
        <w:gridCol w:w="820"/>
        <w:gridCol w:w="3110"/>
        <w:gridCol w:w="5007"/>
      </w:tblGrid>
      <w:tr w:rsidR="003042A2">
        <w:tc>
          <w:tcPr>
            <w:tcW w:w="130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(наименование Получателя, ИНН, КПП, юридический адрес)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просит заключить соглашение для предоставления субсидии в целях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13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(целевое назначение субсидии)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</w:pPr>
            <w:r>
              <w:t>в соответствии с утвержденным постановлением Правительства Мурманской области от "___" ______________ 20 ___ г. N ____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(наименование Порядка предоставления субсидии из бюджета Мурманской области Получателю субсидии)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</w:pPr>
            <w:r>
              <w:t xml:space="preserve">Опись документов, предусмотренных </w:t>
            </w:r>
            <w:hyperlink w:anchor="P151" w:tooltip="2.7. Для заключения соглашения Получатель субсидии не позднее одного рабочего дня до даты заключения Соглашения представляет главному распорядителю следующие документы:">
              <w:r>
                <w:rPr>
                  <w:color w:val="0000FF"/>
                </w:rPr>
                <w:t>пунктом 2.7</w:t>
              </w:r>
            </w:hyperlink>
            <w:r>
              <w:t xml:space="preserve"> Порядка, </w:t>
            </w:r>
            <w:r>
              <w:t>прилагается.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</w:pPr>
            <w:r>
              <w:t>Приложение: на ____ л. в ед. экз.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</w:pPr>
            <w:r>
              <w:t>Получатель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(подпись)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(расшифровка подписи)</w:t>
            </w: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</w:pPr>
            <w:r>
              <w:t>М.П.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13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</w:pPr>
            <w:r>
              <w:t>"___" _______________ 20 ___ г.</w:t>
            </w:r>
          </w:p>
        </w:tc>
      </w:tr>
    </w:tbl>
    <w:p w:rsidR="003042A2" w:rsidRDefault="003042A2">
      <w:pPr>
        <w:pStyle w:val="ConsPlusNormal0"/>
        <w:sectPr w:rsidR="003042A2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1"/>
      </w:pPr>
      <w:r>
        <w:t>Приложение N 2</w:t>
      </w:r>
    </w:p>
    <w:p w:rsidR="003042A2" w:rsidRDefault="008A46BF">
      <w:pPr>
        <w:pStyle w:val="ConsPlusNormal0"/>
        <w:jc w:val="right"/>
      </w:pPr>
      <w:r>
        <w:t>к Порядку</w:t>
      </w:r>
    </w:p>
    <w:p w:rsidR="003042A2" w:rsidRDefault="003042A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042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2A2" w:rsidRDefault="008A46BF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14.03.2024 N 170-ПП, от 24.06.2025 N 428-ПП)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center"/>
      </w:pPr>
      <w:bookmarkStart w:id="18" w:name="P306"/>
      <w:bookmarkEnd w:id="18"/>
      <w:r>
        <w:t>ПЕРЕЧЕНЬ</w:t>
      </w:r>
    </w:p>
    <w:p w:rsidR="003042A2" w:rsidRDefault="008A46BF">
      <w:pPr>
        <w:pStyle w:val="ConsPlusNormal0"/>
        <w:jc w:val="center"/>
      </w:pPr>
      <w:r>
        <w:t>МЕРОПРИЯТИЙ ПО КАПИТАЛЬНОМУ РЕМОНТУ ЭЛЕМЕНТОВ ОБЩЕГО</w:t>
      </w:r>
    </w:p>
    <w:p w:rsidR="003042A2" w:rsidRDefault="008A46BF">
      <w:pPr>
        <w:pStyle w:val="ConsPlusNormal0"/>
        <w:jc w:val="center"/>
      </w:pPr>
      <w:r>
        <w:t>ИМУЩЕСТВА МНОГОКВАРТИРНЫХ ДОМОВ</w:t>
      </w:r>
    </w:p>
    <w:p w:rsidR="003042A2" w:rsidRDefault="003042A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58"/>
        <w:gridCol w:w="1701"/>
        <w:gridCol w:w="1757"/>
      </w:tblGrid>
      <w:tr w:rsidR="003042A2">
        <w:tc>
          <w:tcPr>
            <w:tcW w:w="567" w:type="dxa"/>
          </w:tcPr>
          <w:p w:rsidR="003042A2" w:rsidRDefault="008A46BF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58" w:type="dxa"/>
          </w:tcPr>
          <w:p w:rsidR="003042A2" w:rsidRDefault="008A46BF">
            <w:pPr>
              <w:pStyle w:val="ConsPlusNormal0"/>
              <w:jc w:val="center"/>
            </w:pPr>
            <w:r>
              <w:t>Наименование мероприятия</w:t>
            </w:r>
          </w:p>
        </w:tc>
        <w:tc>
          <w:tcPr>
            <w:tcW w:w="1701" w:type="dxa"/>
          </w:tcPr>
          <w:p w:rsidR="003042A2" w:rsidRDefault="008A46BF">
            <w:pPr>
              <w:pStyle w:val="ConsPlusNormal0"/>
              <w:jc w:val="center"/>
            </w:pPr>
            <w:r>
              <w:t>Количественный показатель</w:t>
            </w:r>
          </w:p>
        </w:tc>
        <w:tc>
          <w:tcPr>
            <w:tcW w:w="1757" w:type="dxa"/>
          </w:tcPr>
          <w:p w:rsidR="003042A2" w:rsidRDefault="008A46BF">
            <w:pPr>
              <w:pStyle w:val="ConsPlusNormal0"/>
              <w:jc w:val="center"/>
            </w:pPr>
            <w:r>
              <w:t>Сумма, руб.</w:t>
            </w:r>
          </w:p>
        </w:tc>
      </w:tr>
      <w:tr w:rsidR="003042A2">
        <w:tc>
          <w:tcPr>
            <w:tcW w:w="56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3458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70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757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56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3458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70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757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56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3458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70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757" w:type="dxa"/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3"/>
        <w:gridCol w:w="2618"/>
        <w:gridCol w:w="471"/>
        <w:gridCol w:w="3682"/>
      </w:tblGrid>
      <w:tr w:rsidR="003042A2"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both"/>
            </w:pPr>
            <w:r>
              <w:t>Исполнитель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(подпись)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(расшифровка подписи)</w:t>
            </w:r>
          </w:p>
        </w:tc>
      </w:tr>
      <w:tr w:rsidR="003042A2"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</w:pPr>
            <w:r>
              <w:t>"___" _______________ 20 ___ г.</w:t>
            </w:r>
          </w:p>
        </w:tc>
        <w:tc>
          <w:tcPr>
            <w:tcW w:w="4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Телефон исполнителя</w:t>
            </w:r>
          </w:p>
        </w:tc>
        <w:tc>
          <w:tcPr>
            <w:tcW w:w="4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4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4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4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(с указанием кода города, района, поселения)</w:t>
            </w:r>
          </w:p>
        </w:tc>
        <w:tc>
          <w:tcPr>
            <w:tcW w:w="4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1"/>
      </w:pPr>
      <w:r>
        <w:t>Приложение N 3</w:t>
      </w:r>
    </w:p>
    <w:p w:rsidR="003042A2" w:rsidRDefault="008A46BF">
      <w:pPr>
        <w:pStyle w:val="ConsPlusNormal0"/>
        <w:jc w:val="right"/>
      </w:pPr>
      <w:r>
        <w:t>к Порядку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center"/>
      </w:pPr>
      <w:r>
        <w:t xml:space="preserve">Утратило силу. - Постановление Правительства </w:t>
      </w:r>
      <w:proofErr w:type="gramStart"/>
      <w:r>
        <w:t>Мурманской</w:t>
      </w:r>
      <w:proofErr w:type="gramEnd"/>
    </w:p>
    <w:p w:rsidR="003042A2" w:rsidRDefault="008A46BF">
      <w:pPr>
        <w:pStyle w:val="ConsPlusNormal0"/>
        <w:jc w:val="center"/>
      </w:pPr>
      <w:r>
        <w:lastRenderedPageBreak/>
        <w:t>области от 12.01.2023 N 11-ПП.</w:t>
      </w: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1"/>
      </w:pPr>
      <w:r>
        <w:t>Приложение N 4</w:t>
      </w:r>
    </w:p>
    <w:p w:rsidR="003042A2" w:rsidRDefault="008A46BF">
      <w:pPr>
        <w:pStyle w:val="ConsPlusNormal0"/>
        <w:jc w:val="right"/>
      </w:pPr>
      <w:r>
        <w:t>к Порядку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</w:pPr>
      <w:bookmarkStart w:id="19" w:name="P361"/>
      <w:bookmarkEnd w:id="19"/>
      <w:r>
        <w:t>ПОРЯДОК</w:t>
      </w:r>
    </w:p>
    <w:p w:rsidR="003042A2" w:rsidRDefault="008A46BF">
      <w:pPr>
        <w:pStyle w:val="ConsPlusTitle0"/>
        <w:jc w:val="center"/>
      </w:pPr>
      <w:r>
        <w:t>ПРОВЕДЕНИЯ ОТБОРА МНОГОКВАРТИРНЫХ ДОМОВ ДЛЯ ПРОВЕДЕНИЯ</w:t>
      </w:r>
    </w:p>
    <w:p w:rsidR="003042A2" w:rsidRDefault="008A46BF">
      <w:pPr>
        <w:pStyle w:val="ConsPlusTitle0"/>
        <w:jc w:val="center"/>
      </w:pPr>
      <w:r>
        <w:t>КАПИТАЛЬНОГО РЕМОНТА</w:t>
      </w:r>
    </w:p>
    <w:p w:rsidR="003042A2" w:rsidRDefault="003042A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042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2A2" w:rsidRDefault="008A46BF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(введен Постановлением Правительства Мурманской области</w:t>
            </w:r>
            <w:proofErr w:type="gramEnd"/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20.12.2021 N 963-ПП;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в ред. Постановлений Правительства Мурманской области</w:t>
            </w:r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18.05.2022 </w:t>
            </w:r>
            <w:r>
              <w:rPr>
                <w:color w:val="392C69"/>
              </w:rPr>
              <w:t>N 370-ПП, от 14.03.2024 N 170-ПП)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1. Отбор многоквартирных домов для проведения капитального ремонта осуществляется главным распорядителем на основании заявок, поданных от управляющих организаций, перечисленных в пункте 2 части 2 статьи 161 ЖК РФ.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20" w:name="P371"/>
      <w:bookmarkEnd w:id="20"/>
      <w:r>
        <w:t xml:space="preserve">2. </w:t>
      </w:r>
      <w:proofErr w:type="gramStart"/>
      <w:r>
        <w:t>Перечень работ, осуществляемый в рамках данного направления расходов, устанавливается пунктом 1 Перечня работ и (или) услуг по капитальному ремонту общего имущества в многоквартирных домах, оказание и (или) выполнение которых финансируются за счет средс</w:t>
      </w:r>
      <w:r>
        <w:t>тв фондов капитального ремонта, сформированных исходя из минимального размера взноса на капитальный ремонт, утвержденного постановлением Правительства Мурманской области от 10.09.2020 N 626-ПП "Об обеспечении организации и своевременного проведения</w:t>
      </w:r>
      <w:proofErr w:type="gramEnd"/>
      <w:r>
        <w:t xml:space="preserve"> капитал</w:t>
      </w:r>
      <w:r>
        <w:t>ьного ремонта общего имущества в многоквартирных домах, расположенных на территории Мурманской области", за исключением пункта 1.9 "Переустройство невентилируемой крыши на вентилируемую крышу".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3. Сроки проведения отбора устанавливаются приказом главного р</w:t>
      </w:r>
      <w:r>
        <w:t>аспорядителя.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21" w:name="P373"/>
      <w:bookmarkEnd w:id="21"/>
      <w:r>
        <w:t>4. Для проведения капитального ремонта элемента МКД организации, перечисленные в пункте 2 части 2 статьи 161 ЖК РФ, представляют главному распорядителю следующие документы:</w:t>
      </w:r>
    </w:p>
    <w:p w:rsidR="003042A2" w:rsidRDefault="008A46BF">
      <w:pPr>
        <w:pStyle w:val="ConsPlusNormal0"/>
        <w:jc w:val="both"/>
      </w:pPr>
      <w:r>
        <w:t>(в ред. Постановления</w:t>
      </w:r>
      <w:r>
        <w:t xml:space="preserve"> Правительства Мурманской области от 18.05.2022 N 370-ПП)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4.1. </w:t>
      </w:r>
      <w:hyperlink w:anchor="P421" w:tooltip="ЗАЯВКА">
        <w:r>
          <w:rPr>
            <w:color w:val="0000FF"/>
          </w:rPr>
          <w:t>Заявку</w:t>
        </w:r>
      </w:hyperlink>
      <w:r>
        <w:t xml:space="preserve"> на участие в отборе многоквартирных домов для проведения капитального ремонта элементов (далее - заявка) по форме согласно приложению N 1 к настоящ</w:t>
      </w:r>
      <w:r>
        <w:t>ему Порядку проведения отбора многоквартирных домов для проведения капитального ремонта (далее - Порядок проведения отбора).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18.05.2022 N 370-ПП)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4.2. Копию справки налогового органа об отсутствии з</w:t>
      </w:r>
      <w:r>
        <w:t xml:space="preserve">адолженности по уплате налогов, </w:t>
      </w:r>
      <w:r>
        <w:lastRenderedPageBreak/>
        <w:t>сборов и иных обязательных платежей в бюджеты бюджетной системы Российской Федерации, полученной не ранее 1 января года, в котором подается заявка.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4.3. </w:t>
      </w:r>
      <w:proofErr w:type="gramStart"/>
      <w:r>
        <w:t>Копию протокола общего собрания собственников жилья, имевшего кворум (е</w:t>
      </w:r>
      <w:r>
        <w:t>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имеющих право голоса) и содержащего вопрос о необходимости переноса установленного региональной програ</w:t>
      </w:r>
      <w:r>
        <w:t>ммой срока проведения капитального ремонта элемента многоквартирного дома на более ранний период или включении многоквартирного дома в краткосрочный план</w:t>
      </w:r>
      <w:proofErr w:type="gramEnd"/>
      <w:r>
        <w:t xml:space="preserve"> реализации региональной программы капитального ремонта общего имущества в многоквартирных домах, распо</w:t>
      </w:r>
      <w:r>
        <w:t>ложенных на территории муниципального образования.</w:t>
      </w:r>
    </w:p>
    <w:p w:rsidR="003042A2" w:rsidRDefault="008A46BF">
      <w:pPr>
        <w:pStyle w:val="ConsPlusNormal0"/>
        <w:jc w:val="both"/>
      </w:pPr>
      <w:r>
        <w:t>(в ред. Постановления Правительства Мурманской области от 18.05.2022 N 370-ПП)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4.4. </w:t>
      </w:r>
      <w:proofErr w:type="gramStart"/>
      <w:r>
        <w:t>Копию протокола общего собрания собственников жилья, имевшего кворум (если в нем приняли участие собственники помещений в</w:t>
      </w:r>
      <w:r>
        <w:t xml:space="preserve"> данном доме или их представители, обладающие более чем пятьюдесятью процентами голосов от общего числа имеющих право голоса) и содержащего вопрос об увеличении размера взноса на капитальный ремонт общего имущества МКД (если размер взноса превышает установ</w:t>
      </w:r>
      <w:r>
        <w:t>ленный постановлением Правительства от 18.12.2020 N 895-ПП).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4.5. Экспертизу по установлению степени износа элемента, подлежащего капитальному ремонту в многоквартирном доме (при наличии).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18.05.202</w:t>
      </w:r>
      <w:r>
        <w:t>2 N 370-ПП)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4.6. Выписку из паспорта МКД, содержащую информацию по </w:t>
      </w:r>
      <w:hyperlink w:anchor="P449" w:tooltip="4">
        <w:r>
          <w:rPr>
            <w:color w:val="0000FF"/>
          </w:rPr>
          <w:t>пунктам 4</w:t>
        </w:r>
      </w:hyperlink>
      <w:r>
        <w:t xml:space="preserve">, </w:t>
      </w:r>
      <w:hyperlink w:anchor="P452" w:tooltip="5">
        <w:r>
          <w:rPr>
            <w:color w:val="0000FF"/>
          </w:rPr>
          <w:t>5</w:t>
        </w:r>
      </w:hyperlink>
      <w:r>
        <w:t xml:space="preserve"> и </w:t>
      </w:r>
      <w:hyperlink w:anchor="P475" w:tooltip="6">
        <w:r>
          <w:rPr>
            <w:color w:val="0000FF"/>
          </w:rPr>
          <w:t>6</w:t>
        </w:r>
      </w:hyperlink>
      <w:r>
        <w:t xml:space="preserve"> заявки.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5. Многоквартирные дома, в которых будет проведен капитальный </w:t>
      </w:r>
      <w:r>
        <w:t>ремонт элементов согласно заявке, определяются при помощи отбора среди всех заявителей на основе рейтинга МКД, в отношении которого подается заявка (далее - Рейтинг), - числовой характеристики, отображающей положение каждого МКД в общей шкале.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</w:t>
      </w:r>
      <w:r>
        <w:t>ановлений Правительства Мурманской области от 18.05.2022 N 370-ПП, от 14.03.2024 N 170-ПП)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6. При составлении Рейтинга используется балльная система. Итоговый балл, присваиваемый каждому МКД в Рейтинге, вычисляется путем математического сложения баллов по </w:t>
      </w:r>
      <w:r>
        <w:t xml:space="preserve">каждому из критериев, указанных в </w:t>
      </w:r>
      <w:hyperlink w:anchor="P519" w:tooltip="КРИТЕРИИ">
        <w:r>
          <w:rPr>
            <w:color w:val="0000FF"/>
          </w:rPr>
          <w:t>приложении N 2</w:t>
        </w:r>
      </w:hyperlink>
      <w:r>
        <w:t xml:space="preserve"> к Порядку проведения отбора.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6.1. В случае равенства итоговых баллов предпочтение отдается дому с более ранней датой постройки.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6.2. МКД с одинаковым годом постройки,</w:t>
      </w:r>
      <w:r>
        <w:t xml:space="preserve"> итоговые баллы которых совпадают, выстраиваются в порядке в соответствии с датой подачи заявки.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6.3. В случае равенства всех перечисленных условий предпочтения отдаются МКД, у которых выше процент собираемости взносов на капитальный ремонт за 12 месяцев, </w:t>
      </w:r>
      <w:r>
        <w:t>предшествующих дате подачи заявки.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7. Участник отбора должен соответствовать следующим требованиям: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lastRenderedPageBreak/>
        <w:t>7.1. У Участника отбора на первое число месяца, предшествующего месяцу, в котором планируется проведение отбора, должна отсутствовать неисполненная обязанно</w:t>
      </w:r>
      <w:r>
        <w:t>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7.2. На момент подачи заявки Участник отбора не должен находиться в процессе реоргани</w:t>
      </w:r>
      <w:r>
        <w:t>зации, ликвидации,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7.3. </w:t>
      </w:r>
      <w:proofErr w:type="gramStart"/>
      <w:r>
        <w:t>В реестре дисквалифицированных лиц должны отсутствоват</w:t>
      </w:r>
      <w:r>
        <w:t>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7.4. </w:t>
      </w:r>
      <w:proofErr w:type="gramStart"/>
      <w:r>
        <w:t>Участник отбора не должен являться иностранным юридич</w:t>
      </w:r>
      <w:r>
        <w:t>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</w:t>
      </w:r>
      <w:r>
        <w:t>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t>), в совокупности превышает 50 проце</w:t>
      </w:r>
      <w:r>
        <w:t>нтов.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8. Каждый участник отбора вправе подать одну заявку на один из видов работ и (или) услуг по капитальному ремонту общего имущества в многоквартирных домах, указанных </w:t>
      </w:r>
      <w:hyperlink w:anchor="P371" w:tooltip="2. Перечень работ, осуществляемый в рамках данного направления расходов, устанавливается пунктом 1 Перечня работ и (или) услуг по капитальному ремонту общего имущества в многоквартирных домах, оказание и (или) выполнение которых финансируются за счет средств ф">
        <w:r>
          <w:rPr>
            <w:color w:val="0000FF"/>
          </w:rPr>
          <w:t>пункте 2</w:t>
        </w:r>
      </w:hyperlink>
      <w:r>
        <w:t xml:space="preserve"> настоящего Порядка проведения отбора.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В</w:t>
      </w:r>
      <w:r>
        <w:t xml:space="preserve"> случае если заявка подается на ремонт внутридомовых инженерных систем водоснабжения, допустимо совмещение в одной заявке нескольких элементов: системы горячего, системы холодного водоснабжения, водоотведения.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а</w:t>
      </w:r>
      <w:proofErr w:type="gramEnd"/>
      <w:r>
        <w:t>бзац введен Постановлением Правительства Мур</w:t>
      </w:r>
      <w:r>
        <w:t>манской области от 18.05.2022 N 370-ПП)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9. Сумма по заявке рассчитывается участником отбора самостоятельно согласно постановлению Правительства Мурманской области от 31.03.2014 N 170-ПП.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Общая сумма заявки не может превышать 5 миллионов рублей по одному МКД (включая работы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в то</w:t>
      </w:r>
      <w:r>
        <w:t>м числе на ремонт (замену) лифтового оборудования, проведение экспертизы проектной документации и осуществление строительного контроля). Заявки с превышением указанной суммы не рассматриваются.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Финансирование распределяется между лидерами Рейтинга от начал</w:t>
      </w:r>
      <w:r>
        <w:t>а списка к концу. Количество заявителей, получивших финансирование, ограничивается пределами предоставляемых ассигнований, указанных в приказе главного распорядителя.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22" w:name="P401"/>
      <w:bookmarkEnd w:id="22"/>
      <w:r>
        <w:t>10. Главный распорядитель в течение пятнадцати календарных дней после предоставления доку</w:t>
      </w:r>
      <w:r>
        <w:t xml:space="preserve">ментов, указанных в </w:t>
      </w:r>
      <w:hyperlink w:anchor="P373" w:tooltip="4. Для проведения капитального ремонта элемента МКД организации, перечисленные в пункте 2 части 2 статьи 161 ЖК РФ, представляют главному распорядителю следующие документы:">
        <w:r>
          <w:rPr>
            <w:color w:val="0000FF"/>
          </w:rPr>
          <w:t>пункте 4</w:t>
        </w:r>
      </w:hyperlink>
      <w:r>
        <w:t xml:space="preserve"> настоящего Порядка про</w:t>
      </w:r>
      <w:r>
        <w:t xml:space="preserve">ведения отбора, осуществляет </w:t>
      </w:r>
      <w:r>
        <w:lastRenderedPageBreak/>
        <w:t>проверку документов на их соответствие требованиям настоящего Порядка проведения отбора, после чего формирует Рейтинг. В случае несоответствия представленных документов требованиям настоящего Порядка проведения отбора и (или) в</w:t>
      </w:r>
      <w:r>
        <w:t>ыявления недостоверности информации, содержащейся в документах, представленных участником отбора, главный распорядитель направляет участнику отбора письменное уведомление об отказе во включении в Рейтинг.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Отказ во включении в Рейтинг не препятствует повторному обращению при соблюдении условий, предусмотренных настоящим Порядком проведения отбора.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Повторная проверка документов на предмет их соответствия требованиям настоящего Порядка проведения отбора произв</w:t>
      </w:r>
      <w:r>
        <w:t xml:space="preserve">одится главным распорядителем в сроки, установленные </w:t>
      </w:r>
      <w:hyperlink w:anchor="P401" w:tooltip="10. Главный распорядитель в течение пятнадцати календарных дней после предоставления документов, указанных в пункте 4 настоящего Порядка проведения отбора, осуществляет проверку документов на их соответствие требованиям настоящего Порядка проведения отбора, по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11. Рейтинг в течение трех рабочих дней после формирования размещается главным распорядителем в сети "Интернет".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12. В течение пяти </w:t>
      </w:r>
      <w:r>
        <w:t>календарных дней после даты окончания приема заявок главный распорядитель, исходя из итоговых баллов Рейтинга, формирует список МКД, в которых будет проведен капитальный ремонт элементов многоквартирных домов согласно заявке (далее - список МКД), и направл</w:t>
      </w:r>
      <w:r>
        <w:t>яет подавшим заявку организациям соответствующие письменные уведомления.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18.05.2022 N 370-ПП)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13. Список МКД в течение 10 дней после формирования направляется главным распорядителем Получателю субси</w:t>
      </w:r>
      <w:r>
        <w:t>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На основании данного списка вносятся соответствующие изменения в муниципальные краткосрочные планы.</w:t>
      </w:r>
    </w:p>
    <w:p w:rsidR="003042A2" w:rsidRDefault="008A46BF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>. 13 в ред. Постановления Правительства Мурманской области от 18.05.2022 N 370-ПП)</w:t>
      </w: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2"/>
      </w:pPr>
      <w:r>
        <w:t>Приложение N 1</w:t>
      </w:r>
    </w:p>
    <w:p w:rsidR="003042A2" w:rsidRDefault="008A46BF">
      <w:pPr>
        <w:pStyle w:val="ConsPlusNormal0"/>
        <w:jc w:val="right"/>
      </w:pPr>
      <w:r>
        <w:t>к Порядку</w:t>
      </w:r>
    </w:p>
    <w:p w:rsidR="003042A2" w:rsidRDefault="003042A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042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2A2" w:rsidRDefault="008A46BF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Мурманской области</w:t>
            </w:r>
            <w:proofErr w:type="gramEnd"/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18.05.2022 N 370-ПП)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center"/>
      </w:pPr>
      <w:bookmarkStart w:id="23" w:name="P421"/>
      <w:bookmarkEnd w:id="23"/>
      <w:r>
        <w:t>ЗАЯВКА</w:t>
      </w:r>
    </w:p>
    <w:p w:rsidR="003042A2" w:rsidRDefault="008A46BF">
      <w:pPr>
        <w:pStyle w:val="ConsPlusNormal0"/>
        <w:jc w:val="center"/>
      </w:pPr>
      <w:r>
        <w:t>НА УЧАСТИЕ В ОТБОРЕ МНОГОКВАРТИРНЫХ ДОМОВ ДЛЯ ПРОВЕДЕНИЯ</w:t>
      </w:r>
    </w:p>
    <w:p w:rsidR="003042A2" w:rsidRDefault="008A46BF">
      <w:pPr>
        <w:pStyle w:val="ConsPlusNormal0"/>
        <w:jc w:val="center"/>
      </w:pPr>
      <w:r>
        <w:t>КАПИТАЛЬНОГО РЕМОНТА</w:t>
      </w:r>
    </w:p>
    <w:p w:rsidR="003042A2" w:rsidRDefault="003042A2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 w:rsidR="003042A2">
        <w:tc>
          <w:tcPr>
            <w:tcW w:w="8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89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lastRenderedPageBreak/>
              <w:t>(наименование заявителя, ИНН, КПП, юридический адрес, дата внесения записи в ЕГРЮЛ)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both"/>
            </w:pPr>
            <w:r>
              <w:t>просит допустить к участию в отборе многоквартирных домов для проведения капитального ремонта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8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8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89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(наименование элемента)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8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89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(адрес МКД)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both"/>
            </w:pPr>
            <w:r>
              <w:t>на общую сумму ___________________________________________________ рублей в соответствии с утвержденным постановлением Правительства Мурманской области от "___" __________________ 20____ г. N _______</w:t>
            </w:r>
          </w:p>
        </w:tc>
      </w:tr>
      <w:tr w:rsidR="003042A2">
        <w:tblPrEx>
          <w:tblBorders>
            <w:insideH w:val="none" w:sz="0" w:space="0" w:color="auto"/>
          </w:tblBorders>
        </w:tblPrEx>
        <w:tc>
          <w:tcPr>
            <w:tcW w:w="8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89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(наименование Порядка предоставления субсидии из бюджета Мурманской области Получателю субсидии)</w:t>
            </w:r>
          </w:p>
        </w:tc>
      </w:tr>
    </w:tbl>
    <w:p w:rsidR="003042A2" w:rsidRDefault="003042A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7"/>
        <w:gridCol w:w="5534"/>
        <w:gridCol w:w="2778"/>
      </w:tblGrid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  <w:jc w:val="center"/>
            </w:pPr>
            <w:r>
              <w:t>Наименование критерия</w:t>
            </w:r>
          </w:p>
        </w:tc>
        <w:tc>
          <w:tcPr>
            <w:tcW w:w="2778" w:type="dxa"/>
          </w:tcPr>
          <w:p w:rsidR="003042A2" w:rsidRDefault="008A46BF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Наличие экспертизы по установлению степени износа элемента, подлежащего капитальному ремонту в многоквартирном доме (при наличии экспертизы; указывается год прохождения экспертизы)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Процент собираемости взносов на капитальный ремонт за 12 месяцев, предш</w:t>
            </w:r>
            <w:r>
              <w:t>ествующих дате подачи заявки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Размер взноса на капитальный ремонт общего имущества в многоквартирных домах, расположенных на территории Мурманской области (руб. за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bookmarkStart w:id="24" w:name="P449"/>
            <w:bookmarkEnd w:id="24"/>
            <w:r>
              <w:t>4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Год ввода МКД в эксплуатацию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bookmarkStart w:id="25" w:name="P452"/>
            <w:bookmarkEnd w:id="25"/>
            <w:r>
              <w:t>5</w:t>
            </w:r>
          </w:p>
        </w:tc>
        <w:tc>
          <w:tcPr>
            <w:tcW w:w="8312" w:type="dxa"/>
            <w:gridSpan w:val="2"/>
          </w:tcPr>
          <w:p w:rsidR="003042A2" w:rsidRDefault="008A46BF">
            <w:pPr>
              <w:pStyle w:val="ConsPlusNormal0"/>
            </w:pPr>
            <w:r>
              <w:t xml:space="preserve">Дата последнего проведения капитального ремонта </w:t>
            </w:r>
            <w:r>
              <w:t>МКД &lt;*&gt;</w:t>
            </w: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5.1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внутридомовые инженерные системы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водоснабжения, водоотведения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lastRenderedPageBreak/>
              <w:t>5.2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лифтовое оборудование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5.3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крыша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5.4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подвальные помещения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5.5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фасад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5.6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фундамент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5.7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коллективные (общедомовые) приборы учета потребления ресурсов, необходимых для предоставления коммунальных услуг, и узлы управления и регулирования потребления этих ресурсов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bookmarkStart w:id="26" w:name="P475"/>
            <w:bookmarkEnd w:id="26"/>
            <w:r>
              <w:t>6</w:t>
            </w:r>
          </w:p>
        </w:tc>
        <w:tc>
          <w:tcPr>
            <w:tcW w:w="8312" w:type="dxa"/>
            <w:gridSpan w:val="2"/>
          </w:tcPr>
          <w:p w:rsidR="003042A2" w:rsidRDefault="008A46BF">
            <w:pPr>
              <w:pStyle w:val="ConsPlusNormal0"/>
            </w:pPr>
            <w:r>
              <w:t>Техническое состояние элементов и инженерных систем МКД &lt;*&gt;</w:t>
            </w:r>
            <w:r>
              <w:t xml:space="preserve"> (указывается % износа)</w:t>
            </w: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6.1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внутридомовые инженерные системы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водоснабжения, водоотведения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6.2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лифтовое оборудование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6.3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крыша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6.4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подвальные помещения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6.5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фасад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677" w:type="dxa"/>
          </w:tcPr>
          <w:p w:rsidR="003042A2" w:rsidRDefault="008A46BF">
            <w:pPr>
              <w:pStyle w:val="ConsPlusNormal0"/>
              <w:jc w:val="center"/>
            </w:pPr>
            <w:r>
              <w:t>6.6</w:t>
            </w:r>
          </w:p>
        </w:tc>
        <w:tc>
          <w:tcPr>
            <w:tcW w:w="5534" w:type="dxa"/>
          </w:tcPr>
          <w:p w:rsidR="003042A2" w:rsidRDefault="008A46BF">
            <w:pPr>
              <w:pStyle w:val="ConsPlusNormal0"/>
            </w:pPr>
            <w:r>
              <w:t>фундамент</w:t>
            </w:r>
          </w:p>
        </w:tc>
        <w:tc>
          <w:tcPr>
            <w:tcW w:w="2778" w:type="dxa"/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--------------------------------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&lt;*&gt;</w:t>
      </w:r>
      <w:r>
        <w:t xml:space="preserve"> Заполняется графа, касающаяся элемента, указанного в заявке.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Приложение: на _____ л. в ед. экз.</w:t>
      </w:r>
    </w:p>
    <w:p w:rsidR="003042A2" w:rsidRDefault="003042A2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9"/>
        <w:gridCol w:w="2414"/>
        <w:gridCol w:w="510"/>
        <w:gridCol w:w="4591"/>
      </w:tblGrid>
      <w:tr w:rsidR="003042A2"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both"/>
            </w:pPr>
            <w:r>
              <w:t>Заявитель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(расшифровка подписи)</w:t>
            </w:r>
          </w:p>
        </w:tc>
      </w:tr>
      <w:tr w:rsidR="003042A2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both"/>
            </w:pPr>
            <w:r>
              <w:t>М.П.</w:t>
            </w:r>
          </w:p>
        </w:tc>
      </w:tr>
      <w:tr w:rsidR="003042A2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42A2" w:rsidRDefault="008A46BF">
            <w:pPr>
              <w:pStyle w:val="ConsPlusNormal0"/>
              <w:jc w:val="both"/>
            </w:pPr>
            <w:r>
              <w:t>"____" ________________ 20___ г.</w:t>
            </w:r>
          </w:p>
        </w:tc>
      </w:tr>
    </w:tbl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2"/>
      </w:pPr>
      <w:r>
        <w:t>Приложение N 2</w:t>
      </w:r>
    </w:p>
    <w:p w:rsidR="003042A2" w:rsidRDefault="008A46BF">
      <w:pPr>
        <w:pStyle w:val="ConsPlusNormal0"/>
        <w:jc w:val="right"/>
      </w:pPr>
      <w:r>
        <w:t>к Порядку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</w:pPr>
      <w:bookmarkStart w:id="27" w:name="P519"/>
      <w:bookmarkEnd w:id="27"/>
      <w:r>
        <w:t>КРИТЕРИИ</w:t>
      </w:r>
    </w:p>
    <w:p w:rsidR="003042A2" w:rsidRDefault="008A46BF">
      <w:pPr>
        <w:pStyle w:val="ConsPlusTitle0"/>
        <w:jc w:val="center"/>
      </w:pPr>
      <w:r>
        <w:t>ОЦЕНКИ МНОГОКВАРТИРНЫХ ДОМОВ</w:t>
      </w:r>
    </w:p>
    <w:p w:rsidR="003042A2" w:rsidRDefault="003042A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042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2A2" w:rsidRDefault="008A46BF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Мурманской области</w:t>
            </w:r>
            <w:proofErr w:type="gramEnd"/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18.05.2022 N 370-ПП)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546"/>
        <w:gridCol w:w="4958"/>
        <w:gridCol w:w="1512"/>
      </w:tblGrid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Наименование критерия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Количество баллов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Дата выдачи свидетельства о внесении записи в Единый государственный реестр юридических лиц товарищества собственников жилья, жилищного кооператива или иного специализированного потребительского кооператива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 xml:space="preserve">После 1 января года, предшествующего подачи </w:t>
            </w:r>
            <w:r>
              <w:t>заявки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Не более чем за 2 года до подачи заявки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Ранее чем за 2 года до подачи заявки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8016" w:type="dxa"/>
            <w:gridSpan w:val="3"/>
            <w:tcBorders>
              <w:bottom w:val="nil"/>
            </w:tcBorders>
            <w:vAlign w:val="center"/>
          </w:tcPr>
          <w:p w:rsidR="003042A2" w:rsidRDefault="008A46BF">
            <w:pPr>
              <w:pStyle w:val="ConsPlusNormal0"/>
            </w:pPr>
            <w:r>
              <w:t>Наличие экспертизы по установлению степени износа элемента, подлежащего капитальному ремонту в многоквартирном доме</w:t>
            </w:r>
          </w:p>
        </w:tc>
      </w:tr>
      <w:tr w:rsidR="003042A2">
        <w:tblPrEx>
          <w:tblBorders>
            <w:insideH w:val="nil"/>
          </w:tblBorders>
        </w:tblPrEx>
        <w:tc>
          <w:tcPr>
            <w:tcW w:w="8923" w:type="dxa"/>
            <w:gridSpan w:val="4"/>
            <w:tcBorders>
              <w:top w:val="nil"/>
            </w:tcBorders>
          </w:tcPr>
          <w:p w:rsidR="003042A2" w:rsidRDefault="008A46BF">
            <w:pPr>
              <w:pStyle w:val="ConsPlusNormal0"/>
              <w:jc w:val="both"/>
            </w:pPr>
            <w:r>
              <w:t>в ред. Постановления</w:t>
            </w:r>
            <w:r>
              <w:t xml:space="preserve"> Правительства Мурманской области от 18.05.2022 N 370-ПП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Текущего года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Года, предшествующего году получения субсидии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Процент собираемости взносов на капитальный ремонт за 12 месяцев, предшествующих дате подачи заявки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99 до 100 %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90 до 99 %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85 до 90 %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Размер взноса на капитальный ремонт общего имущества в многоквартирных домах, расположенных на территории Мурманской области, превышает установленный постановлением Правительства от 18.12.2020 N 895-ПП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На 4 рубля и более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lastRenderedPageBreak/>
              <w:t>4.2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 до 4 рублей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9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 до 3 рублей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 до 2 рублей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Год ввода в эксплуатацию МКД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до 1945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1946 - 1970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1971 - 1995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1995 - 2010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 xml:space="preserve">2010 - </w:t>
            </w:r>
            <w:proofErr w:type="spellStart"/>
            <w:r>
              <w:t>н.в</w:t>
            </w:r>
            <w:proofErr w:type="spellEnd"/>
            <w:r>
              <w:t>.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Дата последнего проведения капитального ремонта МКД: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внутридомовые инженерные системы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водоснабжения, водоотведения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50 до 55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9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45 до 50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40 до 45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35 до 40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6.1.6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30 до 35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6.1.7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25 до 30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6.1.8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20 до 25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6.1.9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15 до 20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6.1.10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10 до 15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6.1.11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 до 10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0,5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6.1.12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менее 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лифтовое оборудование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lastRenderedPageBreak/>
              <w:t>6.2.1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50 до 55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9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45 до 50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40 до 45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35 до 40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6.2.6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30 до 35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6.2.7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25 до 30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6.2.8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20 до 25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6.2.9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15 до 20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6.2.10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10 до 15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6.2.11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 до 10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0,5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6.2.12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менее 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крыша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50 до 55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9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45 до 50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40 до 4</w:t>
            </w:r>
            <w:r>
              <w:t>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35 до 40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6.3.6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30 до 35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6.3.7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25 до 30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6.3.8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20 до 25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6.3.9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15 до 20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6.3.10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10 до 15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lastRenderedPageBreak/>
              <w:t>6.3.11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 до 10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0,5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6.3.12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менее 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подвальные помещения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50 до 55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9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45 до 50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40 до 45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35 до 40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6.4.6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30 до 35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6.4.7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25 до 30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6.4.8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20 до 25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6.4.9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15 до 20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6.4.10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10 до 15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6.4.11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 до 10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0,5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6.4.12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менее 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фасад</w:t>
            </w:r>
          </w:p>
        </w:tc>
        <w:tc>
          <w:tcPr>
            <w:tcW w:w="1512" w:type="dxa"/>
            <w:vAlign w:val="center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50 до 55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9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45 до 50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40 до 45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35 до 40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6.5.6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30 до 35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6.5.7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25 до 30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lastRenderedPageBreak/>
              <w:t>6.5.8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20 до 25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6.5.9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15 до 20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6.5.10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10 до 15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6.5.11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 до 10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0,5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6.5.12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менее 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фундамент</w:t>
            </w:r>
          </w:p>
        </w:tc>
        <w:tc>
          <w:tcPr>
            <w:tcW w:w="1512" w:type="dxa"/>
            <w:vAlign w:val="center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50 до 55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9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45 до 50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40 до 45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35 до 40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6.6.6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30 до 35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6.6.7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25 до 30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6.6.8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20 до 25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6.6.9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15 до 20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6.6.10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10 до 15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6.6.11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от 5 до 10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0,5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6.6.12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менее 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6.7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коллективные (общедомовые) приборы учета потребления ресурсов, необходимых для предоставления коммунальных услуг, и узлы управления и регулирования потребления этих ресурсов</w:t>
            </w:r>
          </w:p>
        </w:tc>
        <w:tc>
          <w:tcPr>
            <w:tcW w:w="1512" w:type="dxa"/>
            <w:vAlign w:val="center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6.7.1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6.7.2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proofErr w:type="gramStart"/>
            <w:r>
              <w:t>установлены</w:t>
            </w:r>
            <w:proofErr w:type="gramEnd"/>
            <w:r>
              <w:t xml:space="preserve"> от 10 и более лет назад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6.7.3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proofErr w:type="gramStart"/>
            <w:r>
              <w:t>установлены</w:t>
            </w:r>
            <w:proofErr w:type="gramEnd"/>
            <w:r>
              <w:t xml:space="preserve"> от 5 до 10 лет назад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6.7.4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менее 5 лет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lastRenderedPageBreak/>
              <w:t>6.7.5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8016" w:type="dxa"/>
            <w:gridSpan w:val="3"/>
            <w:tcBorders>
              <w:bottom w:val="nil"/>
            </w:tcBorders>
            <w:vAlign w:val="center"/>
          </w:tcPr>
          <w:p w:rsidR="003042A2" w:rsidRDefault="008A46BF">
            <w:pPr>
              <w:pStyle w:val="ConsPlusNormal0"/>
            </w:pPr>
            <w:r>
              <w:t>Техническое состояние элементов и инженерных систем МКД:</w:t>
            </w:r>
          </w:p>
        </w:tc>
      </w:tr>
      <w:tr w:rsidR="003042A2">
        <w:tblPrEx>
          <w:tblBorders>
            <w:insideH w:val="nil"/>
          </w:tblBorders>
        </w:tblPrEx>
        <w:tc>
          <w:tcPr>
            <w:tcW w:w="8923" w:type="dxa"/>
            <w:gridSpan w:val="4"/>
            <w:tcBorders>
              <w:top w:val="nil"/>
            </w:tcBorders>
          </w:tcPr>
          <w:p w:rsidR="003042A2" w:rsidRDefault="008A46BF">
            <w:pPr>
              <w:pStyle w:val="ConsPlusNormal0"/>
              <w:jc w:val="both"/>
            </w:pPr>
            <w:r>
              <w:t>в ред. Постановления Правительства Мурманской области от 18.05.2022 N 370-ПП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8016" w:type="dxa"/>
            <w:gridSpan w:val="3"/>
            <w:vAlign w:val="center"/>
          </w:tcPr>
          <w:p w:rsidR="003042A2" w:rsidRDefault="008A46BF">
            <w:pPr>
              <w:pStyle w:val="ConsPlusNormal0"/>
            </w:pPr>
            <w:r>
              <w:t>внутридомовые инженерные системы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водоснабжения, водоотведения</w:t>
            </w:r>
          </w:p>
        </w:tc>
      </w:tr>
      <w:tr w:rsidR="003042A2">
        <w:tc>
          <w:tcPr>
            <w:tcW w:w="907" w:type="dxa"/>
            <w:vMerge w:val="restart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7.1.1</w:t>
            </w:r>
          </w:p>
        </w:tc>
        <w:tc>
          <w:tcPr>
            <w:tcW w:w="1546" w:type="dxa"/>
            <w:vMerge w:val="restart"/>
            <w:vAlign w:val="center"/>
          </w:tcPr>
          <w:p w:rsidR="003042A2" w:rsidRDefault="008A46BF">
            <w:pPr>
              <w:pStyle w:val="ConsPlusNormal0"/>
            </w:pPr>
            <w:r>
              <w:t>износ от 70 % и выше</w:t>
            </w: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МКД с деревянными несущими стенами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1546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иных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7.1.2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50 % до 70 %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7.1.3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30 % до 50 %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7.1.4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до 30 %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лифтовое оборудование</w:t>
            </w:r>
          </w:p>
        </w:tc>
        <w:tc>
          <w:tcPr>
            <w:tcW w:w="1512" w:type="dxa"/>
            <w:vAlign w:val="center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7.2.1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70 % и выше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7.2.2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50 % до 70 %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7.2.3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30 % до 50 %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7.2.4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до 30 %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крыша</w:t>
            </w:r>
          </w:p>
        </w:tc>
        <w:tc>
          <w:tcPr>
            <w:tcW w:w="1512" w:type="dxa"/>
            <w:vAlign w:val="center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907" w:type="dxa"/>
            <w:vMerge w:val="restart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7.3.1</w:t>
            </w:r>
          </w:p>
        </w:tc>
        <w:tc>
          <w:tcPr>
            <w:tcW w:w="1546" w:type="dxa"/>
            <w:vMerge w:val="restart"/>
            <w:vAlign w:val="center"/>
          </w:tcPr>
          <w:p w:rsidR="003042A2" w:rsidRDefault="008A46BF">
            <w:pPr>
              <w:pStyle w:val="ConsPlusNormal0"/>
            </w:pPr>
            <w:r>
              <w:t>износ от 70 % и выше</w:t>
            </w: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МКД с деревянными несущими стенами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1546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иных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7.3.2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50 % до 70 %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7.3.3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30 % до 50 %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7.3.4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до 30 %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подвальные помещения</w:t>
            </w:r>
          </w:p>
        </w:tc>
        <w:tc>
          <w:tcPr>
            <w:tcW w:w="1512" w:type="dxa"/>
            <w:vAlign w:val="center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907" w:type="dxa"/>
            <w:vMerge w:val="restart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7.4.1</w:t>
            </w:r>
          </w:p>
        </w:tc>
        <w:tc>
          <w:tcPr>
            <w:tcW w:w="1546" w:type="dxa"/>
            <w:vMerge w:val="restart"/>
            <w:vAlign w:val="center"/>
          </w:tcPr>
          <w:p w:rsidR="003042A2" w:rsidRDefault="008A46BF">
            <w:pPr>
              <w:pStyle w:val="ConsPlusNormal0"/>
            </w:pPr>
            <w:r>
              <w:t>износ от 70 % и выше</w:t>
            </w: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МКД с деревянными несущими стенами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1546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иных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7.4.2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50 % до 70 %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7.4.3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30 % до 50 %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lastRenderedPageBreak/>
              <w:t>7.4.4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до 30 %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7.5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фасад</w:t>
            </w:r>
          </w:p>
        </w:tc>
        <w:tc>
          <w:tcPr>
            <w:tcW w:w="1512" w:type="dxa"/>
            <w:vAlign w:val="center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907" w:type="dxa"/>
            <w:vMerge w:val="restart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7.5.1</w:t>
            </w:r>
          </w:p>
        </w:tc>
        <w:tc>
          <w:tcPr>
            <w:tcW w:w="1546" w:type="dxa"/>
            <w:vMerge w:val="restart"/>
            <w:vAlign w:val="center"/>
          </w:tcPr>
          <w:p w:rsidR="003042A2" w:rsidRDefault="008A46BF">
            <w:pPr>
              <w:pStyle w:val="ConsPlusNormal0"/>
            </w:pPr>
            <w:r>
              <w:t>износ от 70 % и выше</w:t>
            </w: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МКД с деревянными несущими стенами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1546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иных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7.5.2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50 % до 70 %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7.5.3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30 % до 50 %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7.5.4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до 30 %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7.6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фундамент</w:t>
            </w:r>
          </w:p>
        </w:tc>
        <w:tc>
          <w:tcPr>
            <w:tcW w:w="1512" w:type="dxa"/>
            <w:vAlign w:val="center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907" w:type="dxa"/>
            <w:vMerge w:val="restart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7.6.1</w:t>
            </w:r>
          </w:p>
        </w:tc>
        <w:tc>
          <w:tcPr>
            <w:tcW w:w="1546" w:type="dxa"/>
            <w:vMerge w:val="restart"/>
            <w:vAlign w:val="center"/>
          </w:tcPr>
          <w:p w:rsidR="003042A2" w:rsidRDefault="008A46BF">
            <w:pPr>
              <w:pStyle w:val="ConsPlusNormal0"/>
            </w:pPr>
            <w:r>
              <w:t>износ от 70 % и выше</w:t>
            </w: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МКД с деревянными несущими стенами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0</w:t>
            </w:r>
          </w:p>
        </w:tc>
      </w:tr>
      <w:tr w:rsidR="003042A2">
        <w:tc>
          <w:tcPr>
            <w:tcW w:w="907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1546" w:type="dxa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4958" w:type="dxa"/>
            <w:vAlign w:val="center"/>
          </w:tcPr>
          <w:p w:rsidR="003042A2" w:rsidRDefault="008A46BF">
            <w:pPr>
              <w:pStyle w:val="ConsPlusNormal0"/>
            </w:pPr>
            <w:r>
              <w:t>для иных МКД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12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7.6.2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50 % до 70 %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7.6.3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от 30 % до 50 %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</w:tr>
      <w:tr w:rsidR="003042A2">
        <w:tc>
          <w:tcPr>
            <w:tcW w:w="907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7.6.4</w:t>
            </w:r>
          </w:p>
        </w:tc>
        <w:tc>
          <w:tcPr>
            <w:tcW w:w="6504" w:type="dxa"/>
            <w:gridSpan w:val="2"/>
            <w:vAlign w:val="center"/>
          </w:tcPr>
          <w:p w:rsidR="003042A2" w:rsidRDefault="008A46BF">
            <w:pPr>
              <w:pStyle w:val="ConsPlusNormal0"/>
            </w:pPr>
            <w:r>
              <w:t>износ до 30 %</w:t>
            </w:r>
          </w:p>
        </w:tc>
        <w:tc>
          <w:tcPr>
            <w:tcW w:w="1512" w:type="dxa"/>
            <w:vAlign w:val="center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</w:tr>
    </w:tbl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1"/>
      </w:pPr>
      <w:r>
        <w:t>Приложение N 5</w:t>
      </w:r>
    </w:p>
    <w:p w:rsidR="003042A2" w:rsidRDefault="008A46BF">
      <w:pPr>
        <w:pStyle w:val="ConsPlusNormal0"/>
        <w:jc w:val="right"/>
      </w:pPr>
      <w:r>
        <w:t>к Порядку</w:t>
      </w:r>
    </w:p>
    <w:p w:rsidR="003042A2" w:rsidRDefault="003042A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042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2A2" w:rsidRDefault="008A46BF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(введена Постановлением Правительства Мурманской области</w:t>
            </w:r>
            <w:proofErr w:type="gramEnd"/>
          </w:p>
          <w:p w:rsidR="003042A2" w:rsidRDefault="008A46BF">
            <w:pPr>
              <w:pStyle w:val="ConsPlusNormal0"/>
              <w:jc w:val="center"/>
            </w:pPr>
            <w:r>
              <w:rPr>
                <w:color w:val="392C69"/>
              </w:rPr>
              <w:t>от 13.07.2022 N 550-ПП)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center"/>
      </w:pPr>
      <w:bookmarkStart w:id="28" w:name="P958"/>
      <w:bookmarkEnd w:id="28"/>
      <w:r>
        <w:t>ИНФОРМАЦИЯ</w:t>
      </w:r>
    </w:p>
    <w:p w:rsidR="003042A2" w:rsidRDefault="008A46BF">
      <w:pPr>
        <w:pStyle w:val="ConsPlusNormal0"/>
        <w:jc w:val="center"/>
      </w:pPr>
      <w:r>
        <w:t>О НАЛИЧИИ ПОТРЕБНОСТИ В ОСТАТКАХ СУБСИДИЙ, В ТОМ ЧИСЛЕ</w:t>
      </w:r>
    </w:p>
    <w:p w:rsidR="003042A2" w:rsidRDefault="008A46BF">
      <w:pPr>
        <w:pStyle w:val="ConsPlusNormal0"/>
        <w:jc w:val="center"/>
      </w:pPr>
      <w:r>
        <w:t>ГРАНТОВ В ФОРМЕ СУБСИДИЙ, НА ФИНАНСОВОЕ ОБЕСПЕЧЕНИЕ ЗАТРАТ</w:t>
      </w:r>
    </w:p>
    <w:p w:rsidR="003042A2" w:rsidRDefault="008A46BF">
      <w:pPr>
        <w:pStyle w:val="ConsPlusNormal0"/>
        <w:jc w:val="center"/>
      </w:pPr>
      <w:r>
        <w:t>В СВЯЗИ С ПРОИЗВОДСТВОМ (РЕАЛИЗАЦИЕЙ) ТОВАРОВ, ВЫПОЛНЕНИЕМ</w:t>
      </w:r>
    </w:p>
    <w:p w:rsidR="003042A2" w:rsidRDefault="008A46BF">
      <w:pPr>
        <w:pStyle w:val="ConsPlusNormal0"/>
        <w:jc w:val="center"/>
      </w:pPr>
      <w:r>
        <w:t xml:space="preserve">РАБОТ, ОКАЗАНИЕМ УСЛУГ, НЕ ИСПОЛЬЗОВАННЫХ В </w:t>
      </w:r>
      <w:proofErr w:type="gramStart"/>
      <w:r>
        <w:t>ОТЧЕТНОМ</w:t>
      </w:r>
      <w:proofErr w:type="gramEnd"/>
    </w:p>
    <w:p w:rsidR="003042A2" w:rsidRDefault="008A46BF">
      <w:pPr>
        <w:pStyle w:val="ConsPlusNormal0"/>
        <w:jc w:val="center"/>
      </w:pPr>
      <w:r>
        <w:t>ФИНАНСОВОМ ГОДУ, ИЛИ ВОЗВРАТЕ УКАЗАННЫХ СРЕДСТВ</w:t>
      </w:r>
    </w:p>
    <w:p w:rsidR="003042A2" w:rsidRDefault="008A46BF">
      <w:pPr>
        <w:pStyle w:val="ConsPlusNormal0"/>
        <w:jc w:val="center"/>
      </w:pPr>
      <w:r>
        <w:t>ПРИ ОТСУТСТВИИ В НИХ ПОТРЕБНОСТИ</w:t>
      </w: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sectPr w:rsidR="003042A2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nil"/>
          <w:insideV w:val="nil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358"/>
        <w:gridCol w:w="1254"/>
        <w:gridCol w:w="600"/>
        <w:gridCol w:w="1314"/>
        <w:gridCol w:w="731"/>
        <w:gridCol w:w="594"/>
        <w:gridCol w:w="1340"/>
        <w:gridCol w:w="1204"/>
        <w:gridCol w:w="1487"/>
        <w:gridCol w:w="1190"/>
        <w:gridCol w:w="1307"/>
        <w:gridCol w:w="1743"/>
        <w:gridCol w:w="1417"/>
      </w:tblGrid>
      <w:tr w:rsidR="003042A2">
        <w:tc>
          <w:tcPr>
            <w:tcW w:w="10376" w:type="dxa"/>
            <w:gridSpan w:val="10"/>
            <w:tcBorders>
              <w:top w:val="nil"/>
              <w:bottom w:val="nil"/>
            </w:tcBorders>
          </w:tcPr>
          <w:p w:rsidR="003042A2" w:rsidRDefault="008A46BF">
            <w:pPr>
              <w:pStyle w:val="ConsPlusNormal0"/>
            </w:pPr>
            <w:r>
              <w:lastRenderedPageBreak/>
              <w:t xml:space="preserve">Код целевой статьи, по которой предоставлена субсидия </w:t>
            </w:r>
            <w:r>
              <w:t>в отчетном финансовом году,</w:t>
            </w:r>
          </w:p>
        </w:tc>
        <w:tc>
          <w:tcPr>
            <w:tcW w:w="5494" w:type="dxa"/>
            <w:gridSpan w:val="4"/>
            <w:tcBorders>
              <w:top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7881" w:type="dxa"/>
            <w:gridSpan w:val="8"/>
            <w:tcBorders>
              <w:top w:val="nil"/>
              <w:bottom w:val="nil"/>
            </w:tcBorders>
          </w:tcPr>
          <w:p w:rsidR="003042A2" w:rsidRDefault="008A46BF">
            <w:pPr>
              <w:pStyle w:val="ConsPlusNormal0"/>
            </w:pPr>
            <w:r>
              <w:t>Номер договора (соглашения) о предоставлении субсидии</w:t>
            </w:r>
          </w:p>
        </w:tc>
        <w:tc>
          <w:tcPr>
            <w:tcW w:w="7989" w:type="dxa"/>
            <w:gridSpan w:val="6"/>
            <w:tcBorders>
              <w:top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H w:val="single" w:sz="4" w:space="0" w:color="auto"/>
          </w:tblBorders>
        </w:tblPrEx>
        <w:tc>
          <w:tcPr>
            <w:tcW w:w="10376" w:type="dxa"/>
            <w:gridSpan w:val="10"/>
            <w:tcBorders>
              <w:top w:val="nil"/>
              <w:bottom w:val="nil"/>
            </w:tcBorders>
          </w:tcPr>
          <w:p w:rsidR="003042A2" w:rsidRDefault="008A46BF">
            <w:pPr>
              <w:pStyle w:val="ConsPlusNormal0"/>
            </w:pPr>
            <w:r>
              <w:t>Нормативный правовой акт, регулирующий порядок предоставления целевых средств,</w:t>
            </w:r>
          </w:p>
        </w:tc>
        <w:tc>
          <w:tcPr>
            <w:tcW w:w="1587" w:type="dxa"/>
            <w:tcBorders>
              <w:bottom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номер</w:t>
            </w:r>
          </w:p>
        </w:tc>
        <w:tc>
          <w:tcPr>
            <w:tcW w:w="1435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76" w:type="dxa"/>
            <w:tcBorders>
              <w:bottom w:val="nil"/>
            </w:tcBorders>
          </w:tcPr>
          <w:p w:rsidR="003042A2" w:rsidRDefault="008A46BF">
            <w:pPr>
              <w:pStyle w:val="ConsPlusNormal0"/>
              <w:jc w:val="center"/>
            </w:pPr>
            <w:r>
              <w:t>дата</w:t>
            </w:r>
          </w:p>
        </w:tc>
        <w:tc>
          <w:tcPr>
            <w:tcW w:w="1296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c>
          <w:tcPr>
            <w:tcW w:w="7881" w:type="dxa"/>
            <w:gridSpan w:val="8"/>
            <w:tcBorders>
              <w:top w:val="nil"/>
              <w:bottom w:val="nil"/>
            </w:tcBorders>
          </w:tcPr>
          <w:p w:rsidR="003042A2" w:rsidRDefault="008A46BF">
            <w:pPr>
              <w:pStyle w:val="ConsPlusNormal0"/>
            </w:pPr>
            <w:r>
              <w:t>Цель, установленная при предоставлении целевых средств,</w:t>
            </w:r>
          </w:p>
        </w:tc>
        <w:tc>
          <w:tcPr>
            <w:tcW w:w="7989" w:type="dxa"/>
            <w:gridSpan w:val="6"/>
            <w:tcBorders>
              <w:top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insideV w:val="single" w:sz="4" w:space="0" w:color="auto"/>
          </w:tblBorders>
        </w:tblPrEx>
        <w:tc>
          <w:tcPr>
            <w:tcW w:w="15870" w:type="dxa"/>
            <w:gridSpan w:val="14"/>
            <w:tcBorders>
              <w:top w:val="nil"/>
              <w:left w:val="nil"/>
              <w:right w:val="nil"/>
            </w:tcBorders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3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0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Наименование затрат (мероприятий)</w:t>
            </w:r>
          </w:p>
        </w:tc>
        <w:tc>
          <w:tcPr>
            <w:tcW w:w="2097" w:type="dxa"/>
            <w:gridSpan w:val="2"/>
          </w:tcPr>
          <w:p w:rsidR="003042A2" w:rsidRDefault="008A46BF">
            <w:pPr>
              <w:pStyle w:val="ConsPlusNormal0"/>
              <w:jc w:val="center"/>
            </w:pPr>
            <w:r>
              <w:t>Остатки целевых средств на 01.01.____</w:t>
            </w:r>
          </w:p>
        </w:tc>
        <w:tc>
          <w:tcPr>
            <w:tcW w:w="3951" w:type="dxa"/>
            <w:gridSpan w:val="4"/>
          </w:tcPr>
          <w:p w:rsidR="003042A2" w:rsidRDefault="008A46BF">
            <w:pPr>
              <w:pStyle w:val="ConsPlusNormal0"/>
              <w:jc w:val="center"/>
            </w:pPr>
            <w:r>
              <w:t>Принятые обязательства в отчетном финансовом году</w:t>
            </w:r>
          </w:p>
        </w:tc>
        <w:tc>
          <w:tcPr>
            <w:tcW w:w="1304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Исполнено обязательств на отчетную дату</w:t>
            </w:r>
          </w:p>
        </w:tc>
        <w:tc>
          <w:tcPr>
            <w:tcW w:w="1191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Неисполненный остаток субсидии (гр. 8 - гр. 9)</w:t>
            </w:r>
          </w:p>
        </w:tc>
        <w:tc>
          <w:tcPr>
            <w:tcW w:w="1587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Сумма остатков субсидий, подлежащих возврату, при отсутствии в них потребности</w:t>
            </w:r>
          </w:p>
        </w:tc>
        <w:tc>
          <w:tcPr>
            <w:tcW w:w="1435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Сумма остатков субсидий, потребность в которых подтверждена</w:t>
            </w:r>
          </w:p>
        </w:tc>
        <w:tc>
          <w:tcPr>
            <w:tcW w:w="1176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 xml:space="preserve">Причина возникновения неиспользованного остатка субсидии </w:t>
            </w:r>
            <w:hyperlink w:anchor="P1054" w:tooltip="&lt;**&gt; Указывается причина возникновения неиспользованного остатка, например, непринятые обязательства, неисполненные платежные документы, нормы, согласно внутренним нормативным документам регламентирующие оплату в следующем месяце, и т.д.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96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Обоснование необходимости направления ср</w:t>
            </w:r>
            <w:r>
              <w:t>е</w:t>
            </w:r>
            <w:proofErr w:type="gramStart"/>
            <w:r>
              <w:t>дств в т</w:t>
            </w:r>
            <w:proofErr w:type="gramEnd"/>
            <w:r>
              <w:t xml:space="preserve">екущем году </w:t>
            </w:r>
            <w:hyperlink w:anchor="P1055" w:tooltip="&lt;***&gt; Указывается основание и наименование документа, подтверждающие необходимость направления средств в текущем финансовом году.">
              <w:r>
                <w:rPr>
                  <w:color w:val="0000FF"/>
                </w:rPr>
                <w:t>&lt;***&gt;</w:t>
              </w:r>
            </w:hyperlink>
          </w:p>
        </w:tc>
      </w:tr>
      <w:tr w:rsidR="003042A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1077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на лицевом счете в Федеральном казначействе</w:t>
            </w:r>
          </w:p>
        </w:tc>
        <w:tc>
          <w:tcPr>
            <w:tcW w:w="1020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на счете в банке</w:t>
            </w:r>
          </w:p>
        </w:tc>
        <w:tc>
          <w:tcPr>
            <w:tcW w:w="1286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 xml:space="preserve">наименование документа </w:t>
            </w:r>
            <w:hyperlink w:anchor="P1053" w:tooltip="&lt;*&gt; Указывается договор, контракт, акт сверки, иной документ, на основании которого принято обязательство.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gridSpan w:val="2"/>
          </w:tcPr>
          <w:p w:rsidR="003042A2" w:rsidRDefault="008A46BF">
            <w:pPr>
              <w:pStyle w:val="ConsPlusNormal0"/>
              <w:jc w:val="center"/>
            </w:pPr>
            <w:r>
              <w:t>реквизиты документа, на основании которого принято обязательство</w:t>
            </w:r>
          </w:p>
        </w:tc>
        <w:tc>
          <w:tcPr>
            <w:tcW w:w="1191" w:type="dxa"/>
            <w:vMerge w:val="restart"/>
          </w:tcPr>
          <w:p w:rsidR="003042A2" w:rsidRDefault="008A46BF">
            <w:pPr>
              <w:pStyle w:val="ConsPlusNormal0"/>
              <w:jc w:val="center"/>
            </w:pPr>
            <w:r>
              <w:t>Объем обязательства, все</w:t>
            </w:r>
            <w:r>
              <w:t>го</w:t>
            </w: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794" w:type="dxa"/>
          </w:tcPr>
          <w:p w:rsidR="003042A2" w:rsidRDefault="008A46BF">
            <w:pPr>
              <w:pStyle w:val="ConsPlusNormal0"/>
              <w:jc w:val="center"/>
            </w:pPr>
            <w:r>
              <w:t>номер</w:t>
            </w:r>
          </w:p>
        </w:tc>
        <w:tc>
          <w:tcPr>
            <w:tcW w:w="680" w:type="dxa"/>
          </w:tcPr>
          <w:p w:rsidR="003042A2" w:rsidRDefault="008A46BF">
            <w:pPr>
              <w:pStyle w:val="ConsPlusNormal0"/>
              <w:jc w:val="center"/>
            </w:pPr>
            <w:r>
              <w:t>дата</w:t>
            </w: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  <w:tc>
          <w:tcPr>
            <w:tcW w:w="0" w:type="auto"/>
            <w:vMerge/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3" w:type="dxa"/>
          </w:tcPr>
          <w:p w:rsidR="003042A2" w:rsidRDefault="008A46B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070" w:type="dxa"/>
          </w:tcPr>
          <w:p w:rsidR="003042A2" w:rsidRDefault="008A46B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3042A2" w:rsidRDefault="008A46B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3042A2" w:rsidRDefault="008A46B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286" w:type="dxa"/>
          </w:tcPr>
          <w:p w:rsidR="003042A2" w:rsidRDefault="008A46B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3042A2" w:rsidRDefault="008A46B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3042A2" w:rsidRDefault="008A46B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3042A2" w:rsidRDefault="008A46B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304" w:type="dxa"/>
          </w:tcPr>
          <w:p w:rsidR="003042A2" w:rsidRDefault="008A46B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191" w:type="dxa"/>
          </w:tcPr>
          <w:p w:rsidR="003042A2" w:rsidRDefault="008A46B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3042A2" w:rsidRDefault="008A46B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435" w:type="dxa"/>
          </w:tcPr>
          <w:p w:rsidR="003042A2" w:rsidRDefault="008A46B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176" w:type="dxa"/>
          </w:tcPr>
          <w:p w:rsidR="003042A2" w:rsidRDefault="008A46B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1296" w:type="dxa"/>
          </w:tcPr>
          <w:p w:rsidR="003042A2" w:rsidRDefault="008A46BF">
            <w:pPr>
              <w:pStyle w:val="ConsPlusNormal0"/>
              <w:jc w:val="center"/>
            </w:pPr>
            <w:r>
              <w:t>14</w:t>
            </w:r>
          </w:p>
        </w:tc>
      </w:tr>
      <w:tr w:rsidR="003042A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3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07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07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02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286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794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68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9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304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9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58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435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76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296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3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07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07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02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286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794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68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9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304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9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58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435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76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296" w:type="dxa"/>
          </w:tcPr>
          <w:p w:rsidR="003042A2" w:rsidRDefault="003042A2">
            <w:pPr>
              <w:pStyle w:val="ConsPlusNormal0"/>
            </w:pPr>
          </w:p>
        </w:tc>
      </w:tr>
      <w:tr w:rsidR="003042A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3" w:type="dxa"/>
          </w:tcPr>
          <w:p w:rsidR="003042A2" w:rsidRDefault="008A46BF">
            <w:pPr>
              <w:pStyle w:val="ConsPlusNormal0"/>
            </w:pPr>
            <w:r>
              <w:t>Итого</w:t>
            </w:r>
          </w:p>
        </w:tc>
        <w:tc>
          <w:tcPr>
            <w:tcW w:w="107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07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02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286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794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680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9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304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91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587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435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176" w:type="dxa"/>
          </w:tcPr>
          <w:p w:rsidR="003042A2" w:rsidRDefault="003042A2">
            <w:pPr>
              <w:pStyle w:val="ConsPlusNormal0"/>
            </w:pPr>
          </w:p>
        </w:tc>
        <w:tc>
          <w:tcPr>
            <w:tcW w:w="1296" w:type="dxa"/>
          </w:tcPr>
          <w:p w:rsidR="003042A2" w:rsidRDefault="003042A2">
            <w:pPr>
              <w:pStyle w:val="ConsPlusNormal0"/>
            </w:pPr>
          </w:p>
        </w:tc>
      </w:tr>
    </w:tbl>
    <w:p w:rsidR="003042A2" w:rsidRDefault="003042A2">
      <w:pPr>
        <w:pStyle w:val="ConsPlusNormal0"/>
        <w:sectPr w:rsidR="003042A2">
          <w:headerReference w:type="default" r:id="rId22"/>
          <w:footerReference w:type="default" r:id="rId23"/>
          <w:headerReference w:type="first" r:id="rId24"/>
          <w:footerReference w:type="first" r:id="rId25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--------------------------------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29" w:name="P1053"/>
      <w:bookmarkEnd w:id="29"/>
      <w:r>
        <w:t>&lt;*&gt; Указывается договор, контракт, акт сверки, иной документ, на основании которого принято обязательство.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30" w:name="P1054"/>
      <w:bookmarkEnd w:id="30"/>
      <w:r>
        <w:t xml:space="preserve">&lt;**&gt; Указывается причина возникновения неиспользованного остатка, например, непринятые обязательства, неисполненные </w:t>
      </w:r>
      <w:r>
        <w:t>платежные документы, нормы, согласно внутренним нормативным документам регламентирующие оплату в следующем месяце, и т.д.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31" w:name="P1055"/>
      <w:bookmarkEnd w:id="31"/>
      <w:r>
        <w:t>&lt;***&gt; Указывается основание и наименование документа, подтверждающие необходимость направления сре</w:t>
      </w:r>
      <w:proofErr w:type="gramStart"/>
      <w:r>
        <w:t>дств в т</w:t>
      </w:r>
      <w:proofErr w:type="gramEnd"/>
      <w:r>
        <w:t>екущем финансовом году.</w:t>
      </w: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right"/>
        <w:outlineLvl w:val="0"/>
      </w:pPr>
      <w:r>
        <w:t>Приложение</w:t>
      </w:r>
    </w:p>
    <w:p w:rsidR="003042A2" w:rsidRDefault="008A46BF">
      <w:pPr>
        <w:pStyle w:val="ConsPlusNormal0"/>
        <w:jc w:val="right"/>
      </w:pPr>
      <w:r>
        <w:t>к постановлению</w:t>
      </w:r>
    </w:p>
    <w:p w:rsidR="003042A2" w:rsidRDefault="008A46BF">
      <w:pPr>
        <w:pStyle w:val="ConsPlusNormal0"/>
        <w:jc w:val="right"/>
      </w:pPr>
      <w:r>
        <w:t>Правительства Мурманской области</w:t>
      </w:r>
    </w:p>
    <w:p w:rsidR="003042A2" w:rsidRDefault="008A46BF">
      <w:pPr>
        <w:pStyle w:val="ConsPlusNormal0"/>
        <w:jc w:val="right"/>
      </w:pPr>
      <w:r>
        <w:t>от 23 июня 2021 г. N 391-ПП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</w:pPr>
      <w:bookmarkStart w:id="32" w:name="P1066"/>
      <w:bookmarkEnd w:id="32"/>
      <w:r>
        <w:t>ПОРЯДОК</w:t>
      </w:r>
    </w:p>
    <w:p w:rsidR="003042A2" w:rsidRDefault="008A46BF">
      <w:pPr>
        <w:pStyle w:val="ConsPlusTitle0"/>
        <w:jc w:val="center"/>
      </w:pPr>
      <w:r>
        <w:t>ОПРЕДЕЛЕНИЯ ОБЪЕМА И ПРЕДОСТАВЛЕНИЯ СУБСИДИИ В ВИДЕ</w:t>
      </w:r>
    </w:p>
    <w:p w:rsidR="003042A2" w:rsidRDefault="008A46BF">
      <w:pPr>
        <w:pStyle w:val="ConsPlusTitle0"/>
        <w:jc w:val="center"/>
      </w:pPr>
      <w:r>
        <w:t>ИМУЩЕСТВЕННОГО ВЗНОСА В НКО "ФОНД КАПИТАЛЬНОГО РЕМОНТА</w:t>
      </w:r>
    </w:p>
    <w:p w:rsidR="003042A2" w:rsidRDefault="008A46BF">
      <w:pPr>
        <w:pStyle w:val="ConsPlusTitle0"/>
        <w:jc w:val="center"/>
      </w:pPr>
      <w:r>
        <w:t xml:space="preserve">ОБЩЕГО ИМУЩЕСТВА В МНОГОКВАРТИРНЫХ ДОМАХ В </w:t>
      </w:r>
      <w:proofErr w:type="gramStart"/>
      <w:r>
        <w:t>МУРМАНСК</w:t>
      </w:r>
      <w:r>
        <w:t>ОЙ</w:t>
      </w:r>
      <w:proofErr w:type="gramEnd"/>
    </w:p>
    <w:p w:rsidR="003042A2" w:rsidRDefault="008A46BF">
      <w:pPr>
        <w:pStyle w:val="ConsPlusTitle0"/>
        <w:jc w:val="center"/>
      </w:pPr>
      <w:r>
        <w:t>ОБЛАСТИ"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  <w:outlineLvl w:val="1"/>
      </w:pPr>
      <w:r>
        <w:t>1. Общие положения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 xml:space="preserve">1.1. </w:t>
      </w:r>
      <w:proofErr w:type="gramStart"/>
      <w:r>
        <w:t>Настоящий Порядок устанавливает цель, условия, порядок определения объема и предоставления субсидии в виде имущественного взноса в НКО "Фонд капитального ремонта общего имущества в многоквартирных домах в Мурманской об</w:t>
      </w:r>
      <w:r>
        <w:t>ласти" (далее - Фонд, Субсидия) в рамках реализации мероприятий государственной программы Мурманской области "Комфортное жилье и городская среда", утвержденной постановлением Правительства Мурманской области от 13.11.2020 N 795-ПП.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bookmarkStart w:id="33" w:name="P1075"/>
      <w:bookmarkEnd w:id="33"/>
      <w:r>
        <w:t xml:space="preserve">1.2. </w:t>
      </w:r>
      <w:proofErr w:type="gramStart"/>
      <w:r>
        <w:t>Целью предоставлени</w:t>
      </w:r>
      <w:r>
        <w:t xml:space="preserve">я Субсидии является финансовое обеспечение затрат Получателя, связанных с осуществлением уставной деятельности Фонда, направленной на формирование и реализацию на территории Мурманской области региональной программы капитального ремонта общего имущества в </w:t>
      </w:r>
      <w:r>
        <w:t>многоквартирных домах, расположенных на территории Мурманской области, на 2014 - 2043 годы, утвержденной постановлением Правительства Мурманской области от 31.03.2014 N 168-ПП, по следующим направлениям: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1.2.1. Оплата труда, уплата страховых взносов на обя</w:t>
      </w:r>
      <w:r>
        <w:t>зательное пенсионное, обязательное медицинское и обязательное социальное страхование, организация льготного проезда к месту отдыха и обратно работников Получателя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lastRenderedPageBreak/>
        <w:t>1.2.2. Оплата услуг по содержанию имущества, коммунальных услуг, а также расходов н</w:t>
      </w:r>
      <w:r>
        <w:t>а уборку и охрану помещений (офисов).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1.2.3. Оплата транспортных услуг, а также командировочных расходов работников Получателя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1.2.4. Уплата налогов, сборов, государственных пошлин и обязательных платежей, а также услуг банков.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1.2.5. Оплата услуг связи, подключение и использование информационно-телекоммуникационной сети Интернет, оплата услуг почтовой связи.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1.2.6. Расходы на публикацию в средствах массовой информации.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1.2.7. Приобретение офисной мебели, техники, приобретение и </w:t>
      </w:r>
      <w:r>
        <w:t>сопровождение программного обеспечения, а также расходы на обеспечение доступа к информационным системам и аналитическим данным.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1.2.8. Приобретение канцелярских и офисных товаров, расходных материалов, производственного и хозяйственного инвентаря, необход</w:t>
      </w:r>
      <w:r>
        <w:t>имого для обеспечения деятельности Получателя.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1.2.9. Иные расходы на обеспечение нужд Получателя субсидии в рамках уставной деятельности.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34" w:name="P1085"/>
      <w:bookmarkEnd w:id="34"/>
      <w:r>
        <w:t xml:space="preserve">1.3. Субсидия предоставляется Фонду на безвозмездной основе в соответствии со сводной бюджетной росписью, в пределах </w:t>
      </w:r>
      <w:r>
        <w:t xml:space="preserve">лимитов бюджетных обязательств, предусмотренных Министерству строительства Мурманской области - главному распорядителю как получателю бюджетных средств (далее - Министерство), на цели, предусмотренные </w:t>
      </w:r>
      <w:hyperlink w:anchor="P1075" w:tooltip="1.2. Целью предоставления Субсидии является финансовое обеспечение затрат Получателя, связанных с осуществлением уставной деятельности Фонда, направленной на формирование и реализацию на территории Мурманской области региональной программы капитального ремонта">
        <w:r>
          <w:rPr>
            <w:color w:val="0000FF"/>
          </w:rPr>
          <w:t>пунктом 1.2</w:t>
        </w:r>
      </w:hyperlink>
      <w:r>
        <w:t xml:space="preserve"> насто</w:t>
      </w:r>
      <w:r>
        <w:t>ящего Порядка.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Предоставление Субсидии осуществляется на условиях казначейского сопровождения целевых средств Управлением Федерального казначейства по Мурманской области в порядке, установленном Правительством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1.4. Получателем Субсиди</w:t>
      </w:r>
      <w:r>
        <w:t>и является Фонд (далее - Получатель субсидии).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1.5. При формировании проекта закона об областном бюджете на текущий финансовый год и плановый период (проекта закона о внесении изменений в закон об областном бюджете на текущий финансовый год и плановый период) сведения о Субсидии размещаются на едином п</w:t>
      </w:r>
      <w:r>
        <w:t>ортале бюджетной системы Российской Федерации в информационно-телекоммуникационной сети Интернет.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  <w:outlineLvl w:val="1"/>
      </w:pPr>
      <w:r>
        <w:t>2. Условия и порядок предоставления Субсидии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bookmarkStart w:id="35" w:name="P1092"/>
      <w:bookmarkEnd w:id="35"/>
      <w:r>
        <w:t>2.1. Условиями предоставления Субсидии являются: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2.1.1. У Получателя субсидии на первое число месяца, предшеств</w:t>
      </w:r>
      <w:r>
        <w:t xml:space="preserve">ующего месяцу, в котором </w:t>
      </w:r>
      <w:r>
        <w:lastRenderedPageBreak/>
        <w:t xml:space="preserve">планируется заключение Соглашения,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</w:t>
      </w:r>
      <w:r>
        <w:t>налогах и сборах.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36" w:name="P1094"/>
      <w:bookmarkEnd w:id="36"/>
      <w:r>
        <w:t>2.1.2. У Получателя субсидии на первое число месяца, предшествующего месяцу, в котором планируется заключение Соглашения, должна отсутствовать просроченная задолженность по возврату в бюджет Мурманской области субсидий, бюджетных инвестиц</w:t>
      </w:r>
      <w:r>
        <w:t xml:space="preserve">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иная просроченная задолженность перед бюджетом Мурманской области.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2.1.3. На момент заключения Соглашения Получатель субсидии не должен находиться в процессе реорганизации, ликвидац</w:t>
      </w:r>
      <w:r>
        <w:t>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2.1.4. Наличие согласия Получателя субсидии и обязательство о включении</w:t>
      </w:r>
      <w:r>
        <w:t xml:space="preserve"> в договоры (соглашения) с лицами, являющимися поставщиками (подрядчиками, исполнителями), заключенные в целях исполнения обязательств по Соглашению, условия о согласии на осуществление Министерством и органами государственного финансового контроля Мурманс</w:t>
      </w:r>
      <w:r>
        <w:t>кой области проверок соблюдения условий, целей и порядка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2.1.5. </w:t>
      </w:r>
      <w:proofErr w:type="gramStart"/>
      <w:r>
        <w:t>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</w:t>
      </w:r>
      <w:r>
        <w:t xml:space="preserve">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</w:t>
      </w:r>
      <w:r>
        <w:t>едусматривающих раскрытия и предоставления информации при проведении финансовых операций (офшорные зоны), в</w:t>
      </w:r>
      <w:proofErr w:type="gramEnd"/>
      <w:r>
        <w:t xml:space="preserve"> совокупности превышает 50 процентов.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2.2. Получатель не должен получать средства из бюджета Мурманской области на основании иных нормативных правовы</w:t>
      </w:r>
      <w:r>
        <w:t>х актов Мурманской области на цели, установленные данным постановлением.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2.3. Размер Субсидии, предоставляемой Получателю субсидии, устанавливается законом Мурманской области об областном бюджете на текущий финансовый год и плановый период.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2.4. Предоставл</w:t>
      </w:r>
      <w:r>
        <w:t>ение из областного бюджета Субсидии осуществляется на основании заключенного Соглашения о предоставлении Субсидии (далее - Соглашение) между Министерством и Фондом.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Соглашение и дополнительные соглашения к указанному Соглашению, предусматривающие внесение </w:t>
      </w:r>
      <w:r>
        <w:t>в него изменений или его расторжение, заключаются в соответствии с типовой формой, установленной Министерством финансов Мурманской области.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2.5. Обязательными условиями предоставления Субсидии, включаемыми в Соглашение, являются: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2.5.1. Согласование Получа</w:t>
      </w:r>
      <w:r>
        <w:t xml:space="preserve">телем субсидии новых условий соглашения или расторжение </w:t>
      </w:r>
      <w:r>
        <w:lastRenderedPageBreak/>
        <w:t xml:space="preserve">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Министерству ранее доведенных лимитов бюджетных обязательств, указанных в </w:t>
      </w:r>
      <w:hyperlink w:anchor="P1085" w:tooltip="1.3. Субсидия предоставляется Фонду на безвозмездной основе в соответствии со сводной бюджетной росписью, в пределах лимитов бюджетных обязательств, предусмотренных Министерству строительства Мурманской области - главному распорядителю как получателю бюджетных">
        <w:r>
          <w:rPr>
            <w:color w:val="0000FF"/>
          </w:rPr>
          <w:t>пункте 1.3</w:t>
        </w:r>
      </w:hyperlink>
      <w:r>
        <w:t xml:space="preserve"> на</w:t>
      </w:r>
      <w:r>
        <w:t>стоящего Порядка, приводящего к невозможности предоставления Субсидии в размере, определенном в Соглашении.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2.5.2. Согласие соответственно Получателя субсидии и обязательство о включении в договоры (соглашения) с лицами, являющимися поставщиками (подрядчик</w:t>
      </w:r>
      <w:r>
        <w:t>ами, исполнителями), заключенные в целях исполнения обязательств по соглашению, условия о согласии на осуществление Министерством и органами государственного финансового контроля Мурманской области проверок соблюдения условий, целей и порядка предоставлени</w:t>
      </w:r>
      <w:r>
        <w:t>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2.5.3. </w:t>
      </w:r>
      <w:proofErr w:type="gramStart"/>
      <w:r>
        <w:t>Запрет приобретения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</w:t>
      </w:r>
      <w:r>
        <w:t>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Субсидии.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2.5.4. Требование о возврате остатка Субсидии, не использованного в отчетном финансовом году, в случае отсутствия решения о наличии потребности в использовании остатка Субсидии в текущем финансовом году, принятого Министерством.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2.5.5. Требование о включен</w:t>
      </w:r>
      <w:r>
        <w:t>ии в Соглашение положений о казначейском сопровождении, установленных правилами казначейского сопровождения в соответствии с бюджетным законодательством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37" w:name="P1108"/>
      <w:bookmarkEnd w:id="37"/>
      <w:r>
        <w:t>2.6. Для заключения Соглашения Фонд представляет Министерству следующие документы</w:t>
      </w:r>
      <w:r>
        <w:t>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2.6.1. Смету административно-хозяйственных расходов Фонда на соответствующий финансовый год.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2.6.2. Подписанное со стороны Фонда Соглашение в соответствии с типовой формой, установленной Министерством финансов Мурманской области.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2.6.3. Выписка из Единог</w:t>
      </w:r>
      <w:r>
        <w:t>о государственного реестра юридических лиц.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2.6.4. Справка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</w:t>
      </w:r>
      <w:r>
        <w:t xml:space="preserve"> сборах, срок исполнения по которой наступил в соответствии с законодательством Российской Федерации, на первое число месяца, в котором планируется заключение Соглашения.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2.6.5. Гарантийное письмо, подписанное руководителем Фонда или лицом, исполняющим его</w:t>
      </w:r>
      <w:r>
        <w:t xml:space="preserve"> обязанности в установленном порядке, о соответствии Получателя субсидии условию предоставления Субсидии, указанному в </w:t>
      </w:r>
      <w:hyperlink w:anchor="P1094" w:tooltip="2.1.2. У Получателя субсидии на первое число месяца, предшествующего месяцу, в котором планируется заключение Соглашения, должна отсутствовать просроченная задолженность по возврату в бюджет Мурманской области субсидий, бюджетных инвестиций, предоставленных в ">
        <w:r>
          <w:rPr>
            <w:color w:val="0000FF"/>
          </w:rPr>
          <w:t>п. 2.1.2</w:t>
        </w:r>
      </w:hyperlink>
      <w:r>
        <w:t xml:space="preserve"> настоящего Порядка.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2.6.6. Письменное согласие соответственно Получателя субсидии и обязат</w:t>
      </w:r>
      <w:r>
        <w:t xml:space="preserve">ельство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Соглашению, условия о </w:t>
      </w:r>
      <w:r>
        <w:lastRenderedPageBreak/>
        <w:t>согласии на осуществление Министерством и органами государственного финансово</w:t>
      </w:r>
      <w:r>
        <w:t>го контроля Мурманской области проверок соблюдения условий, целей и порядка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2.7. Министерство в течение 10 рабочих дней после предоставления Фондом документов, указанных в </w:t>
      </w:r>
      <w:hyperlink w:anchor="P1108" w:tooltip="2.6. Для заключения Соглашения Фонд представляет Министерству следующие документы:">
        <w:r>
          <w:rPr>
            <w:color w:val="0000FF"/>
          </w:rPr>
          <w:t>пункте 2.6</w:t>
        </w:r>
      </w:hyperlink>
      <w:r>
        <w:t xml:space="preserve"> настоящего Порядка, обязано рассмотреть поступившие документы.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38" w:name="P1116"/>
      <w:bookmarkEnd w:id="38"/>
      <w:r>
        <w:t>В случае отсутствия отдельных документов или при наличии иных замечаний Министерство в течение 3 рабочих дней, следующих за о</w:t>
      </w:r>
      <w:r>
        <w:t>кончанием предварительного рассмотрения документов,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5 рабочих дней со дня получения уведомления.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2.8. Не позднее 5 рабочих дней после представления Фондом полного пакета документов, указанных в </w:t>
      </w:r>
      <w:hyperlink w:anchor="P1108" w:tooltip="2.6. Для заключения Соглашения Фонд представляет Министерству следующие документы:">
        <w:r>
          <w:rPr>
            <w:color w:val="0000FF"/>
          </w:rPr>
          <w:t>пункте 2.6</w:t>
        </w:r>
      </w:hyperlink>
      <w:r>
        <w:t xml:space="preserve"> настоящего Порядка, Министерство</w:t>
      </w:r>
      <w:r>
        <w:t xml:space="preserve"> принимает решение о предоставлении Субсидии либо об отказе в предоставлении Субсидии в форме распоряжения, о чем уведомляет Фонд в течение 2 рабочих дней со дня принятия соответствующего решения.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Отказ в предоставлении Субсидии не препятствует повторному </w:t>
      </w:r>
      <w:r>
        <w:t>обращению при соблюдении условий, предусмотренных настоящим Порядком.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2.9. Основаниями для отказа в предоставлении Субсидии являются: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определенным </w:t>
      </w:r>
      <w:hyperlink w:anchor="P1092" w:tooltip="2.1. Условиями предоставления Субсидии являются:">
        <w:r>
          <w:rPr>
            <w:color w:val="0000FF"/>
          </w:rPr>
          <w:t>пунктом 2.1</w:t>
        </w:r>
      </w:hyperlink>
      <w:r>
        <w:t xml:space="preserve"> настоящего Порядка, или непредставление (предоставление не в полном объеме) указанных документов по истечении срока, обозначенного в </w:t>
      </w:r>
      <w:hyperlink w:anchor="P1116" w:tooltip="В случае отсутствия отдельных документов или при наличии иных замечаний Министерство в течение 3 рабочих дней, следующих за окончанием предварительного рассмотрения документов, направляет Получателю субсидии уведомление с перечнем недостающих документов и реко">
        <w:r>
          <w:rPr>
            <w:color w:val="0000FF"/>
          </w:rPr>
          <w:t>абзаце втором пункта 2.</w:t>
        </w:r>
        <w:r>
          <w:rPr>
            <w:color w:val="0000FF"/>
          </w:rPr>
          <w:t>7</w:t>
        </w:r>
      </w:hyperlink>
      <w:r>
        <w:t xml:space="preserve"> настоящего Порядка;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недостоверность представленной Получателем субсидии информации.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2.10. Субсидия </w:t>
      </w:r>
      <w:proofErr w:type="gramStart"/>
      <w:r>
        <w:t>носит целевой характер и не может</w:t>
      </w:r>
      <w:proofErr w:type="gramEnd"/>
      <w:r>
        <w:t xml:space="preserve"> быть использована на другие цели.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2.11. Перечисление Субсидии Фонду Министерством производится согласно плану-графику перечисления Субсидии, являющемуся приложением к Соглашению.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2.12. Перечисление Субсидии осуществляется Министерством в сроки, предусмотренные Соглашением, на лицевой счет </w:t>
      </w:r>
      <w:r>
        <w:t>Фонда, открытый в Управлении Федерального казначейства по Мурманской области для учета денежных средств организаций, не являющихся участниками бюджетного процесса.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39" w:name="P1125"/>
      <w:bookmarkEnd w:id="39"/>
      <w:r>
        <w:t>2.13. Результатом предоставления Субсидии является достижение на 31 декабря отчетного года н</w:t>
      </w:r>
      <w:r>
        <w:t>е менее 90 % показателя выполненных работ по реализации региональной программы капитального ремонта общего имущества в многоквартирных домах, расположенных на территории Мурманской области, на 2014 - 2043 годы, утвержденной постановлением Правительства Мур</w:t>
      </w:r>
      <w:r>
        <w:t>манской области от 31.03.2014 N 168-ПП.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2.14. Показателем, необходимым для достижения результатов предоставления Субсидии, является доля выполненных работ по капитальному ремонту общего имущества в многоквартирных домах, включенных в краткосрочный план реа</w:t>
      </w:r>
      <w:r>
        <w:t xml:space="preserve">лизации региональной программы </w:t>
      </w:r>
      <w:r>
        <w:lastRenderedPageBreak/>
        <w:t>капитального ремонта общего имущества в многоквартирных домах, расположенных на территории Мурманской области, на 31 декабря отчетного года.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Значение показателя для достижения результатов предоставления Субсидии устанавливает</w:t>
      </w:r>
      <w:r>
        <w:t>ся Соглашением.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Результативность использования Субсидии оценивается Министерством исходя из степени достижения установленных Соглашением показателей результатов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40" w:name="P1129"/>
      <w:bookmarkEnd w:id="40"/>
      <w:r>
        <w:t xml:space="preserve">2.15. </w:t>
      </w:r>
      <w:proofErr w:type="gramStart"/>
      <w:r>
        <w:t>В случае формирования на конец финансового года остатков средств</w:t>
      </w:r>
      <w:r>
        <w:t xml:space="preserve"> Субсидии, предоставленной за счет областного бюджета, и </w:t>
      </w:r>
      <w:proofErr w:type="spellStart"/>
      <w:r>
        <w:t>недостижения</w:t>
      </w:r>
      <w:proofErr w:type="spellEnd"/>
      <w:r>
        <w:t xml:space="preserve"> показателей результатов предоставления Субсидии, установленных Соглашением, Получатель субсидии не позднее 18 января года, следующего за отчетным годом, выносит на заседание Правления Фо</w:t>
      </w:r>
      <w:r>
        <w:t xml:space="preserve">нда рассмотрение вопроса о причинах формирования остатков Субсидии и </w:t>
      </w:r>
      <w:proofErr w:type="spellStart"/>
      <w:r>
        <w:t>недостижения</w:t>
      </w:r>
      <w:proofErr w:type="spellEnd"/>
      <w:r>
        <w:t xml:space="preserve"> показателей результатов предоставления Субсидии.</w:t>
      </w:r>
      <w:proofErr w:type="gramEnd"/>
    </w:p>
    <w:p w:rsidR="003042A2" w:rsidRDefault="008A46BF">
      <w:pPr>
        <w:pStyle w:val="ConsPlusNormal0"/>
        <w:spacing w:before="240"/>
        <w:ind w:firstLine="540"/>
        <w:jc w:val="both"/>
      </w:pPr>
      <w:r>
        <w:t>Протокол заседания правления Фонда с обосновывающими документами и предложениями об использовании остатков средств Субсидии н</w:t>
      </w:r>
      <w:r>
        <w:t>аправляется Фондом Министерству.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По результатам рассмотрения документов, обосновывающих причины формирования остатков Субсидии, Министерство принимает одно из следующих решений: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а) о возврате Фондом неиспользованных остатков Субсидии в областной бюджет в т</w:t>
      </w:r>
      <w:r>
        <w:t>екущем финансовом году;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б) о расходовании Фондом неиспользованных остатков Субсидии в следующем финансовом году.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Решение Министерства оформляется протоколом. В течение 5 рабочих дней со дня подписания протокола Министерство направляет Фонду уведомление о принятом решении.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При принятии Министерством решения о возврате остатков Субсидии Фонд обязан возвратить их в обла</w:t>
      </w:r>
      <w:r>
        <w:t xml:space="preserve">стной бюджет в течение 30 рабочих дней </w:t>
      </w:r>
      <w:proofErr w:type="gramStart"/>
      <w:r>
        <w:t>с даты отправки</w:t>
      </w:r>
      <w:proofErr w:type="gramEnd"/>
      <w:r>
        <w:t xml:space="preserve"> уведомления о возврате бюджетных средств.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  <w:outlineLvl w:val="1"/>
      </w:pPr>
      <w:r>
        <w:t>3. Требования к отчетности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Получатель субсидии ежеквартально, не позднее 8-го числа месяца, следующего за отчетным периодом (отчет по итогам отчетного года -</w:t>
      </w:r>
      <w:r>
        <w:t xml:space="preserve"> не позднее 17 января финансового года), направляет в Министерство следующие отчеты: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Субсидия, по форме, установленной Министерством финансов Мурманской области;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- отчет</w:t>
      </w:r>
      <w:r>
        <w:t xml:space="preserve"> о достижении результатов и показателей предоставления Субсидии по форме, установленной Министерством финансов Мурманской области.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Title0"/>
        <w:jc w:val="center"/>
        <w:outlineLvl w:val="1"/>
      </w:pPr>
      <w:r>
        <w:t xml:space="preserve">4. Требования к осуществлению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3042A2" w:rsidRDefault="008A46BF">
      <w:pPr>
        <w:pStyle w:val="ConsPlusTitle0"/>
        <w:jc w:val="center"/>
      </w:pPr>
      <w:r>
        <w:lastRenderedPageBreak/>
        <w:t>условий, целей и порядка предоставления Субсидии</w:t>
      </w:r>
    </w:p>
    <w:p w:rsidR="003042A2" w:rsidRDefault="008A46BF">
      <w:pPr>
        <w:pStyle w:val="ConsPlusTitle0"/>
        <w:jc w:val="center"/>
      </w:pPr>
      <w:r>
        <w:t xml:space="preserve">и ответственности за </w:t>
      </w:r>
      <w:r>
        <w:t>их нарушение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r>
        <w:t>4.1. Получатель субсидии несет ответственность за полноту и достоверность предоставляемых в соответствии с заключенным Соглашением документов, а также за целевое и эффективное использование Субсидии в соответствии с действующим законодательст</w:t>
      </w:r>
      <w:r>
        <w:t>вом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4.2. Министерство и органы государственного финансового контроля Мурманской области осуществляют обязательную проверку соблюдения условий, целей и порядка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bookmarkStart w:id="41" w:name="P1149"/>
      <w:bookmarkEnd w:id="41"/>
      <w:r>
        <w:t>4.3. В случае установления Министерством по резуль</w:t>
      </w:r>
      <w:r>
        <w:t>татам проверок или получения от органов государственного финансового контроля Мурманской области информации о факт</w:t>
      </w:r>
      <w:proofErr w:type="gramStart"/>
      <w:r>
        <w:t>е(</w:t>
      </w:r>
      <w:proofErr w:type="gramEnd"/>
      <w:r>
        <w:t>ах) нарушения Получателем субсидии условий предоставления Субсидии, предусмотренных настоящим Порядком, в том числе указания в документах, п</w:t>
      </w:r>
      <w:r>
        <w:t>редоставленных Получателем субсидии в соответствии с соглашением, недостоверных сведений, Министерство в течение трех рабочих дней после завершения проверки направляет Получателю субсидии письменное требование о возврате денежных средств (далее - Требовани</w:t>
      </w:r>
      <w:r>
        <w:t>е) в полном объеме.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Возврат средств Субсидии производится Получателем субсидии в течение 30 рабочих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4.4. В случае если в доработанны</w:t>
      </w:r>
      <w:r>
        <w:t>х отчетах представленные сведения не соответствуют целевому назначению, средства в объеме нецелевого использования подлежат возврату в доход областного бюджета в соответствии с бюджетным законодательством Российской Федерации.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Возврат средств Субсидии прои</w:t>
      </w:r>
      <w:r>
        <w:t>зводится Получателем субсидии в течение 30 рабочих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4.5. В случае </w:t>
      </w:r>
      <w:proofErr w:type="spellStart"/>
      <w:r>
        <w:t>недостижения</w:t>
      </w:r>
      <w:proofErr w:type="spellEnd"/>
      <w:r>
        <w:t xml:space="preserve"> показателей, необходимых для достижения результатов пр</w:t>
      </w:r>
      <w:r>
        <w:t xml:space="preserve">едоставления Субсидии по итогам отчетного года, указанных в </w:t>
      </w:r>
      <w:hyperlink w:anchor="P1125" w:tooltip="2.13. Результатом предоставления Субсидии является достижение на 31 декабря отчетного года не менее 90 % показателя выполненных работ по реализации региональной программы капитального ремонта общего имущества в многоквартирных домах, расположенных на территори">
        <w:r>
          <w:rPr>
            <w:color w:val="0000FF"/>
          </w:rPr>
          <w:t>пункте 2.13</w:t>
        </w:r>
      </w:hyperlink>
      <w:r>
        <w:t xml:space="preserve"> настоящего Порядка, средства Субсидии подлежат возврату в доход областного бюджета не позднее 1 июня года,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4.6. Объем сред</w:t>
      </w:r>
      <w:r>
        <w:t>ств Субсидии, подлежащий возврату в областной бюджет (</w:t>
      </w: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 xml:space="preserve">) в случае </w:t>
      </w:r>
      <w:proofErr w:type="spellStart"/>
      <w:r>
        <w:t>недостижения</w:t>
      </w:r>
      <w:proofErr w:type="spellEnd"/>
      <w:r>
        <w:t xml:space="preserve"> показателей, необходимых для достижения результатов предоставления Субсидии, рассчитывается по формуле: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center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 xml:space="preserve"> = (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x k x m / n) x 0,1, где: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субсидии</w:t>
      </w:r>
      <w:proofErr w:type="spellEnd"/>
      <w:r>
        <w:t xml:space="preserve"> - размер Субсидии, предоставленной Получателю в отчетном финансовом году;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m - количество показателей, необходимых для достижения результатов предоставления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показателя, необходимого для дост</w:t>
      </w:r>
      <w:r>
        <w:t>ижения результатов предоставления Субсидии, имеет положительное значение;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lastRenderedPageBreak/>
        <w:t>n - общее количество показателей, необходимых для достижения результатов предоставления Субсидии;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k - коэффициент возврата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При расчете объема средств, подлежащих возврату в</w:t>
      </w:r>
      <w:r>
        <w:t xml:space="preserve"> областной бюджет, в размере субсидии, предоставленной Получателю в отчетном финансовом году (</w:t>
      </w:r>
      <w:proofErr w:type="spellStart"/>
      <w:proofErr w:type="gramStart"/>
      <w:r>
        <w:t>V</w:t>
      </w:r>
      <w:proofErr w:type="gramEnd"/>
      <w:r>
        <w:rPr>
          <w:vertAlign w:val="subscript"/>
        </w:rPr>
        <w:t>субсидии</w:t>
      </w:r>
      <w:proofErr w:type="spellEnd"/>
      <w:r>
        <w:t>), не учитывается размер остатка субсидии, не использованного по состоянию на 1 января текущего финансового года, потребность в котором не подтверждена М</w:t>
      </w:r>
      <w:r>
        <w:t>инистерством.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>Коэффициент возврата субсидии рассчитывается по формуле:</w:t>
      </w:r>
    </w:p>
    <w:p w:rsidR="003042A2" w:rsidRDefault="003042A2">
      <w:pPr>
        <w:pStyle w:val="ConsPlusNormal0"/>
        <w:jc w:val="both"/>
      </w:pPr>
    </w:p>
    <w:p w:rsidR="003042A2" w:rsidRPr="008A46BF" w:rsidRDefault="008A46BF">
      <w:pPr>
        <w:pStyle w:val="ConsPlusNormal0"/>
        <w:jc w:val="center"/>
        <w:rPr>
          <w:lang w:val="en-US"/>
        </w:rPr>
      </w:pPr>
      <w:r w:rsidRPr="008A46BF">
        <w:rPr>
          <w:lang w:val="en-US"/>
        </w:rPr>
        <w:t>k = SUM D</w:t>
      </w:r>
      <w:r w:rsidRPr="008A46BF">
        <w:rPr>
          <w:vertAlign w:val="subscript"/>
          <w:lang w:val="en-US"/>
        </w:rPr>
        <w:t>i</w:t>
      </w:r>
      <w:r w:rsidRPr="008A46BF">
        <w:rPr>
          <w:lang w:val="en-US"/>
        </w:rPr>
        <w:t xml:space="preserve"> / m, </w:t>
      </w:r>
      <w:r>
        <w:t>где</w:t>
      </w:r>
      <w:r w:rsidRPr="008A46BF">
        <w:rPr>
          <w:lang w:val="en-US"/>
        </w:rPr>
        <w:t>:</w:t>
      </w:r>
    </w:p>
    <w:p w:rsidR="003042A2" w:rsidRPr="008A46BF" w:rsidRDefault="003042A2">
      <w:pPr>
        <w:pStyle w:val="ConsPlusNormal0"/>
        <w:jc w:val="both"/>
        <w:rPr>
          <w:lang w:val="en-US"/>
        </w:rPr>
      </w:pPr>
    </w:p>
    <w:p w:rsidR="003042A2" w:rsidRDefault="008A46BF">
      <w:pPr>
        <w:pStyle w:val="ConsPlusNormal0"/>
        <w:ind w:firstLine="540"/>
        <w:jc w:val="both"/>
      </w:pP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показателя, необходимого для достижения результатов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показателя, необходимого для достижения результатов предоставления Субсидии.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</w:t>
      </w:r>
      <w:r>
        <w:t>оказателя, необходимого для достижения результатов предоставления Субсидии, определяется по формуле: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jc w:val="center"/>
      </w:pP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= 1 - </w:t>
      </w:r>
      <w:proofErr w:type="spellStart"/>
      <w:r>
        <w:t>T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S</w:t>
      </w:r>
      <w:r>
        <w:rPr>
          <w:vertAlign w:val="subscript"/>
        </w:rPr>
        <w:t>i</w:t>
      </w:r>
      <w:proofErr w:type="spellEnd"/>
      <w:r>
        <w:t>, где:</w:t>
      </w:r>
    </w:p>
    <w:p w:rsidR="003042A2" w:rsidRDefault="003042A2">
      <w:pPr>
        <w:pStyle w:val="ConsPlusNormal0"/>
        <w:jc w:val="both"/>
      </w:pPr>
    </w:p>
    <w:p w:rsidR="003042A2" w:rsidRDefault="008A46BF">
      <w:pPr>
        <w:pStyle w:val="ConsPlusNormal0"/>
        <w:ind w:firstLine="540"/>
        <w:jc w:val="both"/>
      </w:pPr>
      <w:proofErr w:type="spellStart"/>
      <w:r>
        <w:t>T</w:t>
      </w:r>
      <w:r>
        <w:rPr>
          <w:vertAlign w:val="subscript"/>
        </w:rPr>
        <w:t>i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показателя, необходимого для достижения результатов предоставления Субсидии на отчетную </w:t>
      </w:r>
      <w:r>
        <w:t>дату;</w:t>
      </w:r>
    </w:p>
    <w:p w:rsidR="003042A2" w:rsidRDefault="008A46BF">
      <w:pPr>
        <w:pStyle w:val="ConsPlusNormal0"/>
        <w:spacing w:before="240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показателя, необходимого для достижения результатов предоставления Субсидии, установленное настоящим Порядком.</w:t>
      </w:r>
    </w:p>
    <w:p w:rsidR="003042A2" w:rsidRDefault="008A46BF">
      <w:pPr>
        <w:pStyle w:val="ConsPlusNormal0"/>
        <w:spacing w:before="240"/>
        <w:ind w:firstLine="540"/>
        <w:jc w:val="both"/>
      </w:pPr>
      <w:r>
        <w:t xml:space="preserve">4.7. </w:t>
      </w:r>
      <w:proofErr w:type="gramStart"/>
      <w:r>
        <w:t>В случае если Получатель субсидии не произвел возврат средств Субсидии в сроки, установленные в требовании</w:t>
      </w:r>
      <w:r>
        <w:t xml:space="preserve"> или уведомлении, Министерство в течение 30 рабочих дней со дня истечения сроков возврата Субсидии, установленных </w:t>
      </w:r>
      <w:hyperlink w:anchor="P1149" w:tooltip="4.3. В случае установления Министерством по результатам проверок или получения от органов государственного финансового контроля Мурманской области информации о факте(ах) нарушения Получателем субсидии условий предоставления Субсидии, предусмотренных настоящим ">
        <w:r>
          <w:rPr>
            <w:color w:val="0000FF"/>
          </w:rPr>
          <w:t>пунктами 4.3</w:t>
        </w:r>
      </w:hyperlink>
      <w:r>
        <w:t xml:space="preserve">, </w:t>
      </w:r>
      <w:hyperlink w:anchor="P1129" w:tooltip="2.15. В случае формирования на конец финансового года остатков средств Субсидии, предоставленной за счет областного бюджета, и недостижения показателей результатов предоставления Субсидии, установленных Соглашением, Получатель субсидии не позднее 18 января год">
        <w:r>
          <w:rPr>
            <w:color w:val="0000FF"/>
          </w:rPr>
          <w:t>2.15</w:t>
        </w:r>
      </w:hyperlink>
      <w:r>
        <w:t xml:space="preserve"> настоящего Порядка, принимает меры по взысканию</w:t>
      </w:r>
      <w:r>
        <w:t xml:space="preserve"> средств Субсидии в доход бюджета Мурманской области в судебном порядке в соответствии с действующим законодательством Российской Федерации.</w:t>
      </w:r>
      <w:proofErr w:type="gramEnd"/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jc w:val="both"/>
      </w:pPr>
    </w:p>
    <w:p w:rsidR="003042A2" w:rsidRDefault="003042A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3042A2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46BF">
      <w:r>
        <w:separator/>
      </w:r>
    </w:p>
  </w:endnote>
  <w:endnote w:type="continuationSeparator" w:id="0">
    <w:p w:rsidR="00000000" w:rsidRDefault="008A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3042A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41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3042A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37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3042A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41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3042A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3042A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18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3042A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35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3042A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23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3042A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3042A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33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3042A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042A2" w:rsidRDefault="008A46B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042A2" w:rsidRDefault="008A46B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042A2" w:rsidRDefault="008A46B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41</w:t>
          </w:r>
          <w:r>
            <w:fldChar w:fldCharType="end"/>
          </w:r>
        </w:p>
      </w:tc>
    </w:tr>
  </w:tbl>
  <w:p w:rsidR="003042A2" w:rsidRDefault="008A46B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46BF">
      <w:r>
        <w:separator/>
      </w:r>
    </w:p>
  </w:footnote>
  <w:footnote w:type="continuationSeparator" w:id="0">
    <w:p w:rsidR="00000000" w:rsidRDefault="008A4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3042A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Правительства Мурманской </w:t>
          </w:r>
          <w:r>
            <w:rPr>
              <w:rFonts w:ascii="Tahoma" w:hAnsi="Tahoma" w:cs="Tahoma"/>
              <w:sz w:val="16"/>
              <w:szCs w:val="16"/>
            </w:rPr>
            <w:t>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3042A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(ред. от </w:t>
          </w:r>
          <w:r>
            <w:rPr>
              <w:rFonts w:ascii="Tahoma" w:hAnsi="Tahoma" w:cs="Tahoma"/>
              <w:sz w:val="16"/>
              <w:szCs w:val="16"/>
            </w:rPr>
            <w:t>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3042A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3042A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3042A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(ред. от </w:t>
          </w:r>
          <w:r>
            <w:rPr>
              <w:rFonts w:ascii="Tahoma" w:hAnsi="Tahoma" w:cs="Tahoma"/>
              <w:sz w:val="16"/>
              <w:szCs w:val="16"/>
            </w:rPr>
            <w:t>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3042A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3042A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>Документ предоставл</w:t>
          </w:r>
          <w:r>
            <w:rPr>
              <w:rFonts w:ascii="Tahoma" w:hAnsi="Tahoma" w:cs="Tahoma"/>
              <w:noProof/>
              <w:sz w:val="18"/>
              <w:szCs w:val="18"/>
            </w:rPr>
            <w:t xml:space="preserve">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3042A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3042A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 xml:space="preserve">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3042A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042A2" w:rsidRDefault="008A46B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23.06.2021 N 391-ПП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</w:t>
          </w:r>
          <w:r>
            <w:rPr>
              <w:rFonts w:ascii="Tahoma" w:hAnsi="Tahoma" w:cs="Tahoma"/>
              <w:sz w:val="16"/>
              <w:szCs w:val="16"/>
            </w:rPr>
            <w:t xml:space="preserve">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042A2" w:rsidRDefault="008A46B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3042A2" w:rsidRDefault="003042A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042A2" w:rsidRDefault="003042A2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A2"/>
    <w:rsid w:val="003042A2"/>
    <w:rsid w:val="008A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8A46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8A46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microsoft.com/office/2007/relationships/stylesWithEffects" Target="stylesWithEffect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13734</Words>
  <Characters>78289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23.06.2021 N 391-ПП
(ред. от 24.06.2025)
"Об утверждении Порядка предоставления субсидии некоммерческой организации "Фонд капитального ремонта общего имущества в многоквартирных домах в Мурманской области"</vt:lpstr>
    </vt:vector>
  </TitlesOfParts>
  <Company>КонсультантПлюс Версия 4024.00.50</Company>
  <LinksUpToDate>false</LinksUpToDate>
  <CharactersWithSpaces>91840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23.06.2021 N 391-ПП
(ред. от 24.06.2025)
"Об утверждении Порядка предоставления субсидии некоммерческой организации "Фонд капитального ремонта общего имущества в многоквартирных домах в Мурманской области" и о внесении изменений в некоторые постановления Правительства Мурманской области"
(вместе с "Порядком предоставления субсидии специализированной некоммерческой организации "Фонд капитального ремонта общего имущества в многоквартирных домах в Мурманской об</dc:title>
  <dc:creator>Колесова Т.С.</dc:creator>
  <cp:lastModifiedBy>Колесова Т.С.</cp:lastModifiedBy>
  <cp:revision>2</cp:revision>
  <dcterms:created xsi:type="dcterms:W3CDTF">2025-10-27T08:28:00Z</dcterms:created>
  <dcterms:modified xsi:type="dcterms:W3CDTF">2025-10-27T08:28:00Z</dcterms:modified>
</cp:coreProperties>
</file>